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39" w:right="147" w:firstLine="0"/>
        <w:jc w:val="center"/>
        <w:rPr>
          <w:b/>
          <w:sz w:val="74"/>
        </w:rPr>
      </w:pPr>
      <w:r>
        <w:rPr>
          <w:color w:val="030303"/>
          <w:spacing w:val="12"/>
          <w:sz w:val="74"/>
        </w:rPr>
        <w:t>Michael</w:t>
      </w:r>
      <w:r>
        <w:rPr>
          <w:color w:val="030303"/>
          <w:spacing w:val="31"/>
          <w:sz w:val="74"/>
        </w:rPr>
        <w:t> </w:t>
      </w:r>
      <w:r>
        <w:rPr>
          <w:b/>
          <w:color w:val="030303"/>
          <w:spacing w:val="9"/>
          <w:sz w:val="74"/>
        </w:rPr>
        <w:t>Harris</w:t>
      </w:r>
    </w:p>
    <w:p>
      <w:pPr>
        <w:spacing w:before="195"/>
        <w:ind w:left="4339" w:right="188" w:firstLine="0"/>
        <w:jc w:val="center"/>
        <w:rPr>
          <w:sz w:val="20"/>
        </w:rPr>
      </w:pPr>
      <w:r>
        <w:rPr>
          <w:color w:val="030303"/>
          <w:sz w:val="20"/>
        </w:rPr>
        <w:t>M</w:t>
      </w:r>
      <w:r>
        <w:rPr>
          <w:color w:val="030303"/>
          <w:spacing w:val="3"/>
          <w:sz w:val="20"/>
        </w:rPr>
        <w:t> </w:t>
      </w:r>
      <w:r>
        <w:rPr>
          <w:color w:val="030303"/>
          <w:sz w:val="20"/>
        </w:rPr>
        <w:t>B</w:t>
      </w:r>
      <w:r>
        <w:rPr>
          <w:color w:val="030303"/>
          <w:spacing w:val="3"/>
          <w:sz w:val="20"/>
        </w:rPr>
        <w:t> </w:t>
      </w:r>
      <w:r>
        <w:rPr>
          <w:color w:val="030303"/>
          <w:spacing w:val="-10"/>
          <w:sz w:val="20"/>
        </w:rPr>
        <w:t>A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339" w:right="133" w:firstLine="0"/>
        <w:jc w:val="center"/>
        <w:rPr>
          <w:sz w:val="18"/>
        </w:rPr>
      </w:pPr>
      <w:r>
        <w:rPr>
          <w:w w:val="105"/>
          <w:sz w:val="18"/>
        </w:rPr>
        <w:t>First-year MBA candidate recruiting for summer internships in corporate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finance and financial planning roles. Five years in commercial banking credit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before school, with three-statement modeling, credit memos, and readouts to lenders and CFOs.</w:t>
      </w: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3"/>
        <w:rPr>
          <w:sz w:val="26"/>
        </w:rPr>
      </w:pPr>
    </w:p>
    <w:p>
      <w:pPr>
        <w:pStyle w:val="Heading1"/>
      </w:pPr>
      <w:r>
        <w:rPr>
          <w:color w:val="030303"/>
          <w:spacing w:val="-2"/>
        </w:rPr>
        <w:t>CONTACT</w:t>
      </w:r>
      <w:r>
        <w:rPr>
          <w:color w:val="030303"/>
          <w:spacing w:val="-6"/>
        </w:rPr>
        <w:t> </w:t>
      </w:r>
      <w:r>
        <w:rPr>
          <w:color w:val="030303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(919)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0173</w:t>
      </w:r>
    </w:p>
    <w:p>
      <w:pPr>
        <w:pStyle w:val="Heading1"/>
        <w:spacing w:before="57"/>
      </w:pPr>
      <w:r>
        <w:rPr>
          <w:b w:val="0"/>
        </w:rPr>
        <w:br w:type="column"/>
      </w:r>
      <w:r>
        <w:rPr>
          <w:color w:val="030303"/>
        </w:rPr>
        <w:t>PROFESSIONAL</w:t>
      </w:r>
      <w:r>
        <w:rPr>
          <w:color w:val="030303"/>
          <w:spacing w:val="-5"/>
        </w:rPr>
        <w:t> </w:t>
      </w:r>
      <w:r>
        <w:rPr>
          <w:color w:val="030303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61" w:lineRule="auto" w:before="0"/>
        <w:ind w:left="77" w:right="368" w:firstLine="0"/>
        <w:jc w:val="left"/>
        <w:rPr>
          <w:sz w:val="18"/>
        </w:rPr>
      </w:pPr>
      <w:r>
        <w:rPr>
          <w:sz w:val="18"/>
        </w:rPr>
        <w:t>Graduate Assistant, Center for Energy Finance | Fuqua School of Business, Durham, NC | 2024 – Present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marcus.odell@example.com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Durham, NC 12345</w:t>
      </w:r>
    </w:p>
    <w:p>
      <w:pPr>
        <w:pStyle w:val="Heading1"/>
        <w:spacing w:before="177"/>
      </w:pPr>
      <w:r>
        <w:rPr>
          <w:color w:val="030303"/>
        </w:rPr>
        <w:t>KEY</w:t>
      </w:r>
      <w:r>
        <w:rPr>
          <w:color w:val="030303"/>
          <w:spacing w:val="-5"/>
        </w:rPr>
        <w:t> </w:t>
      </w:r>
      <w:r>
        <w:rPr>
          <w:color w:val="030303"/>
          <w:spacing w:val="-2"/>
        </w:rPr>
        <w:t>SKILLS</w:t>
      </w:r>
    </w:p>
    <w:p>
      <w:pPr>
        <w:pStyle w:val="BodyText"/>
        <w:spacing w:before="290"/>
        <w:ind w:left="653"/>
      </w:pPr>
      <w:r>
        <w:rPr/>
        <w:t>Three-statement</w:t>
      </w:r>
      <w:r>
        <w:rPr>
          <w:spacing w:val="34"/>
        </w:rPr>
        <w:t> </w:t>
      </w:r>
      <w:r>
        <w:rPr>
          <w:spacing w:val="-2"/>
        </w:rPr>
        <w:t>modeling</w:t>
      </w:r>
    </w:p>
    <w:p>
      <w:pPr>
        <w:pStyle w:val="BodyText"/>
        <w:spacing w:line="391" w:lineRule="auto" w:before="116"/>
        <w:ind w:left="653"/>
      </w:pPr>
      <w:r>
        <w:rPr>
          <w:w w:val="105"/>
        </w:rPr>
        <w:t>Credit analysis and memo writing Project</w:t>
      </w:r>
      <w:r>
        <w:rPr>
          <w:spacing w:val="-12"/>
          <w:w w:val="105"/>
        </w:rPr>
        <w:t> </w:t>
      </w:r>
      <w:r>
        <w:rPr>
          <w:w w:val="105"/>
        </w:rPr>
        <w:t>ﬁnance</w:t>
      </w:r>
      <w:r>
        <w:rPr>
          <w:spacing w:val="-12"/>
          <w:w w:val="105"/>
        </w:rPr>
        <w:t> </w:t>
      </w:r>
      <w:r>
        <w:rPr>
          <w:w w:val="105"/>
        </w:rPr>
        <w:t>cash</w:t>
      </w:r>
      <w:r>
        <w:rPr>
          <w:spacing w:val="-11"/>
          <w:w w:val="105"/>
        </w:rPr>
        <w:t> </w:t>
      </w:r>
      <w:r>
        <w:rPr>
          <w:w w:val="105"/>
        </w:rPr>
        <w:t>ﬂow</w:t>
      </w:r>
      <w:r>
        <w:rPr>
          <w:spacing w:val="-12"/>
          <w:w w:val="105"/>
        </w:rPr>
        <w:t> </w:t>
      </w:r>
      <w:r>
        <w:rPr>
          <w:w w:val="105"/>
        </w:rPr>
        <w:t>modeling</w:t>
      </w:r>
    </w:p>
    <w:p>
      <w:pPr>
        <w:pStyle w:val="BodyText"/>
        <w:spacing w:line="273" w:lineRule="auto" w:before="15"/>
        <w:ind w:left="653" w:right="19"/>
      </w:pPr>
      <w:r>
        <w:rPr>
          <w:w w:val="105"/>
        </w:rPr>
        <w:t>Excel</w:t>
      </w:r>
      <w:r>
        <w:rPr>
          <w:spacing w:val="-14"/>
          <w:w w:val="105"/>
        </w:rPr>
        <w:t> </w:t>
      </w:r>
      <w:r>
        <w:rPr>
          <w:w w:val="105"/>
        </w:rPr>
        <w:t>(lookup</w:t>
      </w:r>
      <w:r>
        <w:rPr>
          <w:spacing w:val="-12"/>
          <w:w w:val="105"/>
        </w:rPr>
        <w:t> </w:t>
      </w:r>
      <w:r>
        <w:rPr>
          <w:w w:val="105"/>
        </w:rPr>
        <w:t>formulas,</w:t>
      </w:r>
      <w:r>
        <w:rPr>
          <w:spacing w:val="-11"/>
          <w:w w:val="105"/>
        </w:rPr>
        <w:t> </w:t>
      </w:r>
      <w:r>
        <w:rPr>
          <w:w w:val="105"/>
        </w:rPr>
        <w:t>data tables, scenario manager)</w:t>
      </w:r>
    </w:p>
    <w:p>
      <w:pPr>
        <w:pStyle w:val="BodyText"/>
        <w:spacing w:line="273" w:lineRule="auto" w:before="91"/>
        <w:ind w:left="653" w:right="713"/>
      </w:pPr>
      <w:r>
        <w:rPr>
          <w:w w:val="105"/>
        </w:rPr>
        <w:t>Capital</w:t>
      </w:r>
      <w:r>
        <w:rPr>
          <w:spacing w:val="-12"/>
          <w:w w:val="105"/>
        </w:rPr>
        <w:t> </w:t>
      </w:r>
      <w:r>
        <w:rPr>
          <w:w w:val="105"/>
        </w:rPr>
        <w:t>markets</w:t>
      </w:r>
      <w:r>
        <w:rPr>
          <w:spacing w:val="-12"/>
          <w:w w:val="105"/>
        </w:rPr>
        <w:t> </w:t>
      </w:r>
      <w:r>
        <w:rPr>
          <w:w w:val="105"/>
        </w:rPr>
        <w:t>research </w:t>
      </w:r>
      <w:r>
        <w:rPr>
          <w:spacing w:val="-2"/>
          <w:w w:val="105"/>
        </w:rPr>
        <w:t>platforms</w:t>
      </w:r>
    </w:p>
    <w:p>
      <w:pPr>
        <w:pStyle w:val="BodyText"/>
        <w:spacing w:line="391" w:lineRule="auto" w:before="90"/>
        <w:ind w:left="653"/>
      </w:pPr>
      <w:r>
        <w:rPr>
          <w:w w:val="105"/>
        </w:rPr>
        <w:t>PowerPoint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ﬁnance</w:t>
      </w:r>
      <w:r>
        <w:rPr>
          <w:spacing w:val="-11"/>
          <w:w w:val="105"/>
        </w:rPr>
        <w:t> </w:t>
      </w:r>
      <w:r>
        <w:rPr>
          <w:w w:val="105"/>
        </w:rPr>
        <w:t>audiences Committee presentation</w:t>
      </w:r>
    </w:p>
    <w:p>
      <w:pPr>
        <w:pStyle w:val="BodyText"/>
        <w:spacing w:line="273" w:lineRule="auto"/>
        <w:ind w:left="653"/>
      </w:pPr>
      <w:r>
        <w:rPr>
          <w:spacing w:val="-2"/>
          <w:w w:val="105"/>
        </w:rPr>
        <w:t>Bloomberg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Terminal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(working knowledge)</w:t>
      </w:r>
    </w:p>
    <w:p>
      <w:pPr>
        <w:pStyle w:val="BodyText"/>
        <w:spacing w:line="273" w:lineRule="auto" w:before="161"/>
        <w:ind w:left="616" w:right="368"/>
      </w:pPr>
      <w:r>
        <w:rPr/>
        <w:br w:type="column"/>
      </w:r>
      <w:r>
        <w:rPr>
          <w:w w:val="105"/>
        </w:rPr>
        <w:t>Support a faculty director on two research projects covering utility-scale solar project ﬁnance and residential heat pump adoption economics.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Built a scenario model in Excel comparing 15-year cash ﬂows for four heat pump ﬁnancing structures; model is being used in a working paper submitted this spring.</w:t>
      </w:r>
    </w:p>
    <w:p>
      <w:pPr>
        <w:pStyle w:val="BodyText"/>
        <w:spacing w:line="273" w:lineRule="auto" w:before="105"/>
        <w:ind w:left="616"/>
      </w:pPr>
      <w:r>
        <w:rPr>
          <w:w w:val="105"/>
        </w:rPr>
        <w:t>Coordinate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monthly</w:t>
      </w:r>
      <w:r>
        <w:rPr>
          <w:spacing w:val="-1"/>
          <w:w w:val="105"/>
        </w:rPr>
        <w:t> </w:t>
      </w:r>
      <w:r>
        <w:rPr>
          <w:w w:val="105"/>
        </w:rPr>
        <w:t>speaker</w:t>
      </w:r>
      <w:r>
        <w:rPr>
          <w:spacing w:val="-1"/>
          <w:w w:val="105"/>
        </w:rPr>
        <w:t> </w:t>
      </w:r>
      <w:r>
        <w:rPr>
          <w:w w:val="105"/>
        </w:rPr>
        <w:t>series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has</w:t>
      </w:r>
      <w:r>
        <w:rPr>
          <w:spacing w:val="-1"/>
          <w:w w:val="105"/>
        </w:rPr>
        <w:t> </w:t>
      </w:r>
      <w:r>
        <w:rPr>
          <w:w w:val="105"/>
        </w:rPr>
        <w:t>drawn</w:t>
      </w:r>
      <w:r>
        <w:rPr>
          <w:spacing w:val="-1"/>
          <w:w w:val="105"/>
        </w:rPr>
        <w:t> </w:t>
      </w:r>
      <w:r>
        <w:rPr>
          <w:w w:val="105"/>
        </w:rPr>
        <w:t>about</w:t>
      </w:r>
      <w:r>
        <w:rPr>
          <w:spacing w:val="-1"/>
          <w:w w:val="105"/>
        </w:rPr>
        <w:t> </w:t>
      </w:r>
      <w:r>
        <w:rPr>
          <w:w w:val="105"/>
        </w:rPr>
        <w:t>60</w:t>
      </w:r>
      <w:r>
        <w:rPr>
          <w:spacing w:val="-1"/>
          <w:w w:val="105"/>
        </w:rPr>
        <w:t> </w:t>
      </w:r>
      <w:r>
        <w:rPr>
          <w:w w:val="105"/>
        </w:rPr>
        <w:t>attendees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average across the fall term.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Commercial</w:t>
      </w:r>
      <w:r>
        <w:rPr>
          <w:spacing w:val="5"/>
          <w:sz w:val="18"/>
        </w:rPr>
        <w:t> </w:t>
      </w:r>
      <w:r>
        <w:rPr>
          <w:sz w:val="18"/>
        </w:rPr>
        <w:t>Credit</w:t>
      </w:r>
      <w:r>
        <w:rPr>
          <w:spacing w:val="-5"/>
          <w:sz w:val="18"/>
        </w:rPr>
        <w:t> </w:t>
      </w:r>
      <w:r>
        <w:rPr>
          <w:sz w:val="18"/>
        </w:rPr>
        <w:t>Analyst</w:t>
      </w:r>
      <w:r>
        <w:rPr>
          <w:spacing w:val="6"/>
          <w:sz w:val="18"/>
        </w:rPr>
        <w:t> </w:t>
      </w:r>
      <w:r>
        <w:rPr>
          <w:sz w:val="18"/>
        </w:rPr>
        <w:t>II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Tallgrass</w:t>
      </w:r>
      <w:r>
        <w:rPr>
          <w:spacing w:val="6"/>
          <w:sz w:val="18"/>
        </w:rPr>
        <w:t> </w:t>
      </w:r>
      <w:r>
        <w:rPr>
          <w:sz w:val="18"/>
        </w:rPr>
        <w:t>Regional</w:t>
      </w:r>
      <w:r>
        <w:rPr>
          <w:spacing w:val="6"/>
          <w:sz w:val="18"/>
        </w:rPr>
        <w:t> </w:t>
      </w:r>
      <w:r>
        <w:rPr>
          <w:sz w:val="18"/>
        </w:rPr>
        <w:t>Bank,</w:t>
      </w:r>
      <w:r>
        <w:rPr>
          <w:spacing w:val="5"/>
          <w:sz w:val="18"/>
        </w:rPr>
        <w:t> </w:t>
      </w:r>
      <w:r>
        <w:rPr>
          <w:sz w:val="18"/>
        </w:rPr>
        <w:t>Omaha,</w:t>
      </w:r>
      <w:r>
        <w:rPr>
          <w:spacing w:val="6"/>
          <w:sz w:val="18"/>
        </w:rPr>
        <w:t> </w:t>
      </w:r>
      <w:r>
        <w:rPr>
          <w:sz w:val="18"/>
        </w:rPr>
        <w:t>NE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2021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2024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172"/>
      </w:pPr>
      <w:r>
        <w:rPr>
          <w:w w:val="105"/>
        </w:rPr>
        <w:t>Underwrote middle-market C&amp;I credits ranging from $3M to $28M across manufacturing, ag processing, and healthcare.</w:t>
      </w:r>
    </w:p>
    <w:p>
      <w:pPr>
        <w:pStyle w:val="BodyText"/>
        <w:spacing w:line="273" w:lineRule="auto" w:before="90"/>
        <w:ind w:left="616" w:right="172"/>
      </w:pPr>
      <w:r>
        <w:rPr>
          <w:w w:val="105"/>
        </w:rPr>
        <w:t>Carried a portfolio of 41 relationships; zero criticized migrations during my time as lead analyst.</w:t>
      </w:r>
    </w:p>
    <w:p>
      <w:pPr>
        <w:pStyle w:val="BodyText"/>
        <w:spacing w:line="273" w:lineRule="auto" w:before="91"/>
        <w:ind w:left="616" w:right="140"/>
      </w:pPr>
      <w:r>
        <w:rPr>
          <w:w w:val="105"/>
        </w:rPr>
        <w:t>Wrote</w:t>
      </w:r>
      <w:r>
        <w:rPr>
          <w:spacing w:val="-2"/>
          <w:w w:val="105"/>
        </w:rPr>
        <w:t> </w:t>
      </w:r>
      <w:r>
        <w:rPr>
          <w:w w:val="105"/>
        </w:rPr>
        <w:t>credit</w:t>
      </w:r>
      <w:r>
        <w:rPr>
          <w:spacing w:val="-2"/>
          <w:w w:val="105"/>
        </w:rPr>
        <w:t> </w:t>
      </w:r>
      <w:r>
        <w:rPr>
          <w:w w:val="105"/>
        </w:rPr>
        <w:t>memos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presented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regional</w:t>
      </w:r>
      <w:r>
        <w:rPr>
          <w:spacing w:val="-2"/>
          <w:w w:val="105"/>
        </w:rPr>
        <w:t> </w:t>
      </w:r>
      <w:r>
        <w:rPr>
          <w:w w:val="105"/>
        </w:rPr>
        <w:t>loan</w:t>
      </w:r>
      <w:r>
        <w:rPr>
          <w:spacing w:val="-2"/>
          <w:w w:val="105"/>
        </w:rPr>
        <w:t> </w:t>
      </w:r>
      <w:r>
        <w:rPr>
          <w:w w:val="105"/>
        </w:rPr>
        <w:t>committee,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roughly</w:t>
      </w:r>
      <w:r>
        <w:rPr>
          <w:spacing w:val="-2"/>
          <w:w w:val="105"/>
        </w:rPr>
        <w:t> </w:t>
      </w:r>
      <w:r>
        <w:rPr>
          <w:w w:val="105"/>
        </w:rPr>
        <w:t>90% of my recommendations approved as written.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Trained</w:t>
      </w:r>
      <w:r>
        <w:rPr>
          <w:spacing w:val="-1"/>
          <w:w w:val="105"/>
        </w:rPr>
        <w:t> </w:t>
      </w:r>
      <w:r>
        <w:rPr>
          <w:w w:val="105"/>
        </w:rPr>
        <w:t>two</w:t>
      </w:r>
      <w:r>
        <w:rPr>
          <w:spacing w:val="-1"/>
          <w:w w:val="105"/>
        </w:rPr>
        <w:t> </w:t>
      </w:r>
      <w:r>
        <w:rPr>
          <w:w w:val="105"/>
        </w:rPr>
        <w:t>incoming</w:t>
      </w:r>
      <w:r>
        <w:rPr>
          <w:spacing w:val="-1"/>
          <w:w w:val="105"/>
        </w:rPr>
        <w:t> </w:t>
      </w:r>
      <w:r>
        <w:rPr>
          <w:w w:val="105"/>
        </w:rPr>
        <w:t>analysts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internal</w:t>
      </w:r>
      <w:r>
        <w:rPr>
          <w:spacing w:val="-1"/>
          <w:w w:val="105"/>
        </w:rPr>
        <w:t> </w:t>
      </w:r>
      <w:r>
        <w:rPr>
          <w:w w:val="105"/>
        </w:rPr>
        <w:t>spreading</w:t>
      </w:r>
      <w:r>
        <w:rPr>
          <w:spacing w:val="-1"/>
          <w:w w:val="105"/>
        </w:rPr>
        <w:t> </w:t>
      </w:r>
      <w:r>
        <w:rPr>
          <w:w w:val="105"/>
        </w:rPr>
        <w:t>system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bank's underwriting playbook.</w:t>
      </w:r>
    </w:p>
    <w:p>
      <w:pPr>
        <w:pStyle w:val="BodyText"/>
        <w:spacing w:before="106"/>
        <w:ind w:left="616"/>
      </w:pPr>
      <w:r>
        <w:rPr>
          <w:w w:val="105"/>
        </w:rPr>
        <w:t>Left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pursue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full-time</w:t>
      </w:r>
      <w:r>
        <w:rPr>
          <w:spacing w:val="-2"/>
          <w:w w:val="105"/>
        </w:rPr>
        <w:t> </w:t>
      </w:r>
      <w:r>
        <w:rPr>
          <w:w w:val="105"/>
        </w:rPr>
        <w:t>MBA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pivot</w:t>
      </w:r>
      <w:r>
        <w:rPr>
          <w:spacing w:val="-3"/>
          <w:w w:val="105"/>
        </w:rPr>
        <w:t> </w:t>
      </w:r>
      <w:r>
        <w:rPr>
          <w:w w:val="105"/>
        </w:rPr>
        <w:t>toward</w:t>
      </w:r>
      <w:r>
        <w:rPr>
          <w:spacing w:val="-3"/>
          <w:w w:val="105"/>
        </w:rPr>
        <w:t> </w:t>
      </w:r>
      <w:r>
        <w:rPr>
          <w:w w:val="105"/>
        </w:rPr>
        <w:t>corporate</w:t>
      </w:r>
      <w:r>
        <w:rPr>
          <w:spacing w:val="-2"/>
          <w:w w:val="105"/>
        </w:rPr>
        <w:t> ﬁnance.</w:t>
      </w:r>
    </w:p>
    <w:p>
      <w:pPr>
        <w:pStyle w:val="BodyText"/>
        <w:spacing w:before="9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Commercial</w:t>
      </w:r>
      <w:r>
        <w:rPr>
          <w:spacing w:val="5"/>
          <w:sz w:val="18"/>
        </w:rPr>
        <w:t> </w:t>
      </w:r>
      <w:r>
        <w:rPr>
          <w:sz w:val="18"/>
        </w:rPr>
        <w:t>Credit</w:t>
      </w:r>
      <w:r>
        <w:rPr>
          <w:spacing w:val="-5"/>
          <w:sz w:val="18"/>
        </w:rPr>
        <w:t> </w:t>
      </w:r>
      <w:r>
        <w:rPr>
          <w:sz w:val="18"/>
        </w:rPr>
        <w:t>Analyst</w:t>
      </w:r>
      <w:r>
        <w:rPr>
          <w:spacing w:val="6"/>
          <w:sz w:val="18"/>
        </w:rPr>
        <w:t> </w:t>
      </w:r>
      <w:r>
        <w:rPr>
          <w:sz w:val="18"/>
        </w:rPr>
        <w:t>I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Tallgrass</w:t>
      </w:r>
      <w:r>
        <w:rPr>
          <w:spacing w:val="6"/>
          <w:sz w:val="18"/>
        </w:rPr>
        <w:t> </w:t>
      </w:r>
      <w:r>
        <w:rPr>
          <w:sz w:val="18"/>
        </w:rPr>
        <w:t>Regional</w:t>
      </w:r>
      <w:r>
        <w:rPr>
          <w:spacing w:val="5"/>
          <w:sz w:val="18"/>
        </w:rPr>
        <w:t> </w:t>
      </w:r>
      <w:r>
        <w:rPr>
          <w:sz w:val="18"/>
        </w:rPr>
        <w:t>Bank,</w:t>
      </w:r>
      <w:r>
        <w:rPr>
          <w:spacing w:val="6"/>
          <w:sz w:val="18"/>
        </w:rPr>
        <w:t> </w:t>
      </w:r>
      <w:r>
        <w:rPr>
          <w:sz w:val="18"/>
        </w:rPr>
        <w:t>Omaha,</w:t>
      </w:r>
      <w:r>
        <w:rPr>
          <w:spacing w:val="6"/>
          <w:sz w:val="18"/>
        </w:rPr>
        <w:t> </w:t>
      </w:r>
      <w:r>
        <w:rPr>
          <w:sz w:val="18"/>
        </w:rPr>
        <w:t>NE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2019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30" w:space="694"/>
            <w:col w:w="7146"/>
          </w:cols>
        </w:sectPr>
      </w:pPr>
    </w:p>
    <w:p>
      <w:pPr>
        <w:pStyle w:val="BodyText"/>
        <w:spacing w:before="1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678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0678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77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657350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6573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35267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77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428999"/>
                            <a:ext cx="47625" cy="401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010025">
                                <a:moveTo>
                                  <a:pt x="47625" y="3982872"/>
                                </a:moveTo>
                                <a:lnTo>
                                  <a:pt x="27165" y="3962400"/>
                                </a:lnTo>
                                <a:lnTo>
                                  <a:pt x="20472" y="3962400"/>
                                </a:lnTo>
                                <a:lnTo>
                                  <a:pt x="0" y="3982872"/>
                                </a:lnTo>
                                <a:lnTo>
                                  <a:pt x="0" y="3986441"/>
                                </a:lnTo>
                                <a:lnTo>
                                  <a:pt x="0" y="3989565"/>
                                </a:lnTo>
                                <a:lnTo>
                                  <a:pt x="20472" y="4010025"/>
                                </a:lnTo>
                                <a:lnTo>
                                  <a:pt x="27165" y="4010025"/>
                                </a:lnTo>
                                <a:lnTo>
                                  <a:pt x="47625" y="3989565"/>
                                </a:lnTo>
                                <a:lnTo>
                                  <a:pt x="47625" y="3982872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3335172"/>
                                </a:moveTo>
                                <a:lnTo>
                                  <a:pt x="27165" y="3314700"/>
                                </a:lnTo>
                                <a:lnTo>
                                  <a:pt x="20472" y="3314700"/>
                                </a:lnTo>
                                <a:lnTo>
                                  <a:pt x="0" y="3335172"/>
                                </a:lnTo>
                                <a:lnTo>
                                  <a:pt x="0" y="3338741"/>
                                </a:lnTo>
                                <a:lnTo>
                                  <a:pt x="0" y="3341865"/>
                                </a:lnTo>
                                <a:lnTo>
                                  <a:pt x="20472" y="3362325"/>
                                </a:lnTo>
                                <a:lnTo>
                                  <a:pt x="27165" y="3362325"/>
                                </a:lnTo>
                                <a:lnTo>
                                  <a:pt x="47625" y="3341865"/>
                                </a:lnTo>
                                <a:lnTo>
                                  <a:pt x="47625" y="3335172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1420647"/>
                                </a:moveTo>
                                <a:lnTo>
                                  <a:pt x="27165" y="1400175"/>
                                </a:lnTo>
                                <a:lnTo>
                                  <a:pt x="20472" y="1400175"/>
                                </a:lnTo>
                                <a:lnTo>
                                  <a:pt x="0" y="1420647"/>
                                </a:lnTo>
                                <a:lnTo>
                                  <a:pt x="0" y="1424216"/>
                                </a:lnTo>
                                <a:lnTo>
                                  <a:pt x="0" y="1427340"/>
                                </a:lnTo>
                                <a:lnTo>
                                  <a:pt x="20472" y="1447800"/>
                                </a:lnTo>
                                <a:lnTo>
                                  <a:pt x="27165" y="1447800"/>
                                </a:lnTo>
                                <a:lnTo>
                                  <a:pt x="47625" y="1427340"/>
                                </a:lnTo>
                                <a:lnTo>
                                  <a:pt x="47625" y="1420647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0100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3696" id="docshapegroup1" coordorigin="0,0" coordsize="11415,16860">
                <v:shape style="position:absolute;left:0;top:0;width:4095;height:16860" id="docshape2" coordorigin="0,0" coordsize="4095,16860" path="m4095,0l0,0,0,14280,0,16860,4095,16860,4095,14280,4095,0xe" filled="true" fillcolor="#3a77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610" id="docshape7" coordorigin="780,7365" coordsize="75,2610" path="m855,9932l854,9927,850,9918,848,9914,841,9907,837,9905,828,9901,823,9900,812,9900,807,9901,798,9905,794,9907,787,9914,785,9918,781,9927,780,9932,780,9938,780,9943,781,9948,785,9957,787,9961,794,9968,798,9970,807,9974,812,9975,823,9975,828,9974,837,9970,841,9968,848,9961,850,9957,854,9948,855,9943,855,9932xm855,9632l854,9627,850,9618,848,9614,841,9607,837,9605,828,9601,823,9600,812,9600,807,9601,798,9605,794,9607,787,9614,785,9618,781,9627,780,9632,780,9638,780,9643,781,9648,785,9657,787,9661,794,9668,798,9670,807,9674,812,9675,823,9675,828,9674,837,9670,841,9668,848,9661,850,9657,854,9648,855,9643,855,9632xm855,9332l854,9327,850,9318,848,9314,841,9307,837,9305,828,9301,823,9300,812,9300,807,9301,798,9305,794,9307,787,9314,785,9318,781,9327,780,9332,780,9338,780,9343,781,9348,785,9357,787,9361,794,9368,798,9370,807,9374,812,9375,823,9375,828,9374,837,9370,841,9368,848,9361,850,9357,854,9348,855,9343,855,9332xm855,8822l854,8817,850,8808,848,8804,841,8797,837,8795,828,8791,823,8790,812,8790,807,8791,798,8795,794,8797,787,8804,785,8808,781,8817,780,8822,780,8828,780,8833,781,8838,785,8847,787,8851,794,8858,798,8860,807,8864,812,8865,823,8865,828,8864,837,8860,841,8858,848,8851,850,8847,854,8838,855,8833,855,882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705;width:7320;height:30" id="docshape8" filled="true" fillcolor="#3a77a6" stroked="false">
                  <v:fill type="solid"/>
                </v:rect>
                <v:shape style="position:absolute;left:4664;top:5400;width:75;height:6315" id="docshape9" coordorigin="4665,5400" coordsize="75,6315" path="m4740,11672l4739,11667,4735,11658,4733,11654,4726,11647,4722,11645,4713,11641,4708,11640,4697,11640,4692,11641,4683,11645,4679,11647,4672,11654,4670,11658,4666,11667,4665,11672,4665,11678,4665,11683,4666,11688,4670,11697,4672,11701,4679,11708,4683,11710,4692,11714,4697,11715,4708,11715,4713,11714,4722,11710,4726,11708,4733,11701,4735,11697,4739,11688,4740,11683,4740,11672xm4740,11162l4739,11157,4735,11148,4733,11144,4726,11137,4722,11135,4713,11131,4708,11130,4697,11130,4692,11131,4683,11135,4679,11137,4672,11144,4670,11148,4666,11157,4665,11162,4665,11168,4665,11173,4666,11178,4670,11187,4672,11191,4679,11198,4683,11200,4692,11204,4697,11205,4708,11205,4713,11204,4722,11200,4726,11198,4733,11191,4735,11187,4739,11178,4740,11173,4740,11162xm4740,10652l4739,10647,4735,10638,4733,10634,4726,10627,4722,10625,4713,10621,4708,10620,4697,10620,4692,10621,4683,10625,4679,10627,4672,10634,4670,10638,4666,10647,4665,10652,4665,10658,4665,10663,4666,10668,4670,10677,4672,10681,4679,10688,4683,10690,4692,10694,4697,10695,4708,10695,4713,10694,4722,10690,4726,10688,4733,10681,4735,10677,4739,10668,4740,10663,4740,10652xm4740,9692l4739,9687,4735,9678,4733,9674,4726,9667,4722,9665,4713,9661,4708,9660,4697,9660,4692,9661,4683,9665,4679,9667,4672,9674,4670,9678,4666,9687,4665,9692,4665,9698,4665,9703,4666,9708,4670,9717,4672,9721,4679,9728,4683,9730,4692,9734,4697,9735,4708,9735,4713,9734,4722,9730,4726,9728,4733,9721,4735,9717,4739,9708,4740,9703,4740,9692xm4740,9167l4739,9162,4735,9153,4733,9149,4726,9142,4722,9140,4713,9136,4708,9135,4697,9135,4692,9136,4683,9140,4679,9142,4672,9149,4670,9153,4666,9162,4665,9167,4665,9173,4665,9178,4666,9183,4670,9192,4672,9196,4679,9203,4683,9205,4692,9209,4697,9210,4708,9210,4713,9209,4722,9205,4726,9203,4733,9196,4735,9192,4739,9183,4740,9178,4740,9167xm4740,8657l4739,8652,4735,8643,4733,8639,4726,8632,4722,8630,4713,8626,4708,8625,4697,8625,4692,8626,4683,8630,4679,8632,4672,8639,4670,8643,4666,8652,4665,8657,4665,8663,4665,8668,4666,8673,4670,8682,4672,8686,4679,8693,4683,8695,4692,8699,4697,8700,4708,8700,4713,8699,4722,8695,4726,8693,4733,8686,4735,8682,4739,8673,4740,8668,4740,8657xm4740,8147l4739,8142,4735,8133,4733,8129,4726,8122,4722,8120,4713,8116,4708,8115,4697,8115,4692,8116,4683,8120,4679,8122,4672,8129,4670,8133,4666,8142,4665,8147,4665,8153,4665,8158,4666,8163,4670,8172,4672,8176,4679,8183,4683,8185,4692,8189,4697,8190,4708,8190,4713,8189,4722,8185,4726,8183,4733,8176,4735,8172,4739,8163,4740,8158,4740,8147xm4740,7637l4739,7632,4735,7623,4733,7619,4726,7612,4722,7610,4713,7606,4708,7605,4697,7605,4692,7606,4683,7610,4679,7612,4672,7619,4670,7623,4666,7632,4665,7637,4665,7643,4665,7648,4666,7653,4670,7662,4672,7666,4679,7673,4683,7675,4692,7679,4697,7680,4708,7680,4713,7679,4722,7675,4726,7673,4733,7666,4735,7662,4739,7653,4740,7648,4740,7637xm4740,6467l4739,6462,4735,6453,4733,6449,4726,6442,4722,6440,4713,6436,4708,6435,4697,6435,4692,6436,4683,6440,4679,6442,4672,6449,4670,6453,4666,6462,4665,6467,4665,6473,4665,6478,4666,6483,4670,6492,4672,6496,4679,6503,4683,6505,4692,6509,4697,6510,4708,6510,4713,6509,4722,6505,4726,6503,4733,6496,4735,6492,4739,6483,4740,6478,4740,6467xm4740,5942l4739,5937,4735,5928,4733,5924,4726,5917,4722,5915,4713,5911,4708,5910,4697,5910,4692,5911,4683,5915,4679,5917,4672,5924,4670,5928,4666,5937,4665,5942,4665,5948,4665,5953,4666,5958,4670,5967,4672,5971,4679,5978,4683,5980,4692,5984,4697,5985,4708,5985,4713,5984,4722,5980,4726,5978,4733,5971,4735,5967,4739,5958,4740,5953,4740,5942xm4740,5432l4739,5427,4735,5418,4733,5414,4726,5407,4722,5405,4713,5401,4708,5400,4697,5400,4692,5401,4683,5405,4679,5407,4672,5414,4670,5418,4666,5427,4665,5432,4665,5438,4665,5443,4666,5448,4670,5457,4672,5461,4679,5468,4683,5470,4692,5474,4697,5475,4708,5475,4713,5474,4722,5470,4726,5468,4733,5461,4735,5457,4739,5448,4740,5443,4740,5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3" w:lineRule="auto"/>
        <w:ind w:left="4540"/>
      </w:pPr>
      <w:r>
        <w:rPr>
          <w:w w:val="105"/>
        </w:rPr>
        <w:t>Spread ﬁnancial statements and prepared annual reviews for a portfolio of about 60 </w:t>
      </w:r>
      <w:r>
        <w:rPr>
          <w:spacing w:val="-2"/>
          <w:w w:val="105"/>
        </w:rPr>
        <w:t>borrowers.</w:t>
      </w:r>
    </w:p>
    <w:p>
      <w:pPr>
        <w:pStyle w:val="BodyText"/>
        <w:spacing w:line="273" w:lineRule="auto" w:before="90"/>
        <w:ind w:left="4540"/>
      </w:pPr>
      <w:r>
        <w:rPr>
          <w:w w:val="105"/>
        </w:rPr>
        <w:t>Flagged a covenant miscalculation on a legacy healthcare credit that had gone unnoticed for two reporting cycles; correction was folded into the next amendment.</w:t>
      </w:r>
    </w:p>
    <w:p>
      <w:pPr>
        <w:pStyle w:val="BodyText"/>
        <w:spacing w:before="91"/>
        <w:ind w:left="4540"/>
      </w:pPr>
      <w:r>
        <w:rPr>
          <w:w w:val="105"/>
        </w:rPr>
        <w:t>Promoted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Analyst</w:t>
      </w:r>
      <w:r>
        <w:rPr>
          <w:spacing w:val="-8"/>
          <w:w w:val="105"/>
        </w:rPr>
        <w:t> </w:t>
      </w:r>
      <w:r>
        <w:rPr>
          <w:w w:val="105"/>
        </w:rPr>
        <w:t>II</w:t>
      </w:r>
      <w:r>
        <w:rPr>
          <w:spacing w:val="-7"/>
          <w:w w:val="105"/>
        </w:rPr>
        <w:t> </w:t>
      </w:r>
      <w:r>
        <w:rPr>
          <w:w w:val="105"/>
        </w:rPr>
        <w:t>after</w:t>
      </w:r>
      <w:r>
        <w:rPr>
          <w:spacing w:val="-8"/>
          <w:w w:val="105"/>
        </w:rPr>
        <w:t> </w:t>
      </w:r>
      <w:r>
        <w:rPr>
          <w:w w:val="105"/>
        </w:rPr>
        <w:t>20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Heading1"/>
        <w:spacing w:before="292"/>
        <w:ind w:left="0" w:right="1534"/>
        <w:jc w:val="center"/>
      </w:pPr>
      <w:r>
        <w:rPr>
          <w:color w:val="030303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line="278" w:lineRule="auto" w:before="0"/>
        <w:ind w:left="4001" w:right="124" w:firstLine="0"/>
        <w:jc w:val="left"/>
        <w:rPr>
          <w:sz w:val="18"/>
        </w:rPr>
      </w:pPr>
      <w:r>
        <w:rPr>
          <w:spacing w:val="-2"/>
          <w:w w:val="105"/>
          <w:sz w:val="18"/>
        </w:rPr>
        <w:t>MBA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Candidate,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Fuqua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School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Business,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Duke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University,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expected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2026 </w:t>
      </w:r>
      <w:r>
        <w:rPr>
          <w:w w:val="105"/>
          <w:sz w:val="18"/>
        </w:rPr>
        <w:t>(Finance Club VP, Energy Club member)</w:t>
      </w:r>
    </w:p>
    <w:p>
      <w:pPr>
        <w:pStyle w:val="BodyText"/>
        <w:spacing w:before="33"/>
        <w:rPr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BS,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Finance,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University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Nebraska-Lincoln,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2019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(Dean's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List,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6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semesters)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odel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2026-09-21T07:30:52Z</dcterms:created>
  <dcterms:modified xsi:type="dcterms:W3CDTF">2026-09-21T07:30:52Z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