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77"/>
        <w:rPr>
          <w:rFonts w:ascii="Times New Roman"/>
          <w:sz w:val="74"/>
        </w:rPr>
      </w:pPr>
    </w:p>
    <w:p>
      <w:pPr>
        <w:spacing w:before="0"/>
        <w:ind w:left="3850" w:right="11" w:firstLine="0"/>
        <w:jc w:val="center"/>
        <w:rPr>
          <w:sz w:val="74"/>
        </w:rPr>
      </w:pPr>
      <w:r>
        <w:rPr>
          <w:b/>
          <w:color w:val="A64D78"/>
          <w:spacing w:val="11"/>
          <w:sz w:val="74"/>
        </w:rPr>
        <w:t>Imani</w:t>
      </w:r>
      <w:r>
        <w:rPr>
          <w:b/>
          <w:color w:val="A64D78"/>
          <w:spacing w:val="31"/>
          <w:sz w:val="74"/>
        </w:rPr>
        <w:t> </w:t>
      </w:r>
      <w:r>
        <w:rPr>
          <w:color w:val="A64D78"/>
          <w:spacing w:val="10"/>
          <w:sz w:val="74"/>
        </w:rPr>
        <w:t>Pacheco</w:t>
      </w:r>
    </w:p>
    <w:p>
      <w:pPr>
        <w:spacing w:before="274"/>
        <w:ind w:left="3850" w:right="0" w:firstLine="0"/>
        <w:jc w:val="center"/>
        <w:rPr>
          <w:b/>
          <w:sz w:val="18"/>
        </w:rPr>
      </w:pPr>
      <w:r>
        <w:rPr>
          <w:b/>
          <w:color w:val="A64D78"/>
          <w:w w:val="105"/>
          <w:sz w:val="18"/>
        </w:rPr>
        <w:t>Clinical</w:t>
      </w:r>
      <w:r>
        <w:rPr>
          <w:b/>
          <w:color w:val="A64D78"/>
          <w:spacing w:val="13"/>
          <w:w w:val="105"/>
          <w:sz w:val="18"/>
        </w:rPr>
        <w:t> </w:t>
      </w:r>
      <w:r>
        <w:rPr>
          <w:b/>
          <w:color w:val="A64D78"/>
          <w:w w:val="105"/>
          <w:sz w:val="18"/>
        </w:rPr>
        <w:t>Research</w:t>
      </w:r>
      <w:r>
        <w:rPr>
          <w:b/>
          <w:color w:val="A64D78"/>
          <w:spacing w:val="6"/>
          <w:w w:val="105"/>
          <w:sz w:val="18"/>
        </w:rPr>
        <w:t> </w:t>
      </w:r>
      <w:r>
        <w:rPr>
          <w:b/>
          <w:color w:val="A64D78"/>
          <w:w w:val="105"/>
          <w:sz w:val="18"/>
        </w:rPr>
        <w:t>Associate</w:t>
      </w:r>
      <w:r>
        <w:rPr>
          <w:b/>
          <w:color w:val="A64D78"/>
          <w:spacing w:val="12"/>
          <w:w w:val="105"/>
          <w:sz w:val="18"/>
        </w:rPr>
        <w:t> </w:t>
      </w:r>
      <w:r>
        <w:rPr>
          <w:b/>
          <w:color w:val="A64D78"/>
          <w:spacing w:val="-5"/>
          <w:w w:val="105"/>
          <w:sz w:val="18"/>
        </w:rPr>
        <w:t>II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0" w:bottom="0" w:left="283" w:right="283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37"/>
        <w:rPr>
          <w:b/>
          <w:sz w:val="22"/>
        </w:rPr>
      </w:pPr>
    </w:p>
    <w:p>
      <w:pPr>
        <w:pStyle w:val="Heading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50"/>
        <w:rPr>
          <w:b/>
          <w:sz w:val="22"/>
        </w:rPr>
      </w:pPr>
    </w:p>
    <w:p>
      <w:pPr>
        <w:pStyle w:val="BodyText"/>
        <w:ind w:left="196"/>
      </w:pPr>
      <w:r>
        <w:rPr>
          <w:position w:val="-12"/>
        </w:rPr>
        <w:drawing>
          <wp:inline distT="0" distB="0" distL="0" distR="0">
            <wp:extent cx="247649" cy="2381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(541) 555-0111</w:t>
      </w:r>
    </w:p>
    <w:p>
      <w:pPr>
        <w:pStyle w:val="BodyText"/>
        <w:spacing w:line="261" w:lineRule="auto" w:before="132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304799</wp:posOffset>
                </wp:positionH>
                <wp:positionV relativeFrom="paragraph">
                  <wp:posOffset>114768</wp:posOffset>
                </wp:positionV>
                <wp:extent cx="247650" cy="2381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9.036875pt;width:19.5pt;height:18.75pt;mso-position-horizontal-relative:page;mso-position-vertical-relative:paragraph;z-index:15730176" id="docshapegroup1" coordorigin="480,181" coordsize="390,375">
                <v:rect style="position:absolute;left:480;top:180;width:390;height:375" id="docshape2" filled="true" fillcolor="#a64d78" stroked="false">
                  <v:fill type="solid"/>
                </v:rect>
                <v:shape style="position:absolute;left:572;top:240;width:226;height:255" id="docshape3" coordorigin="572,241" coordsize="226,255" path="m723,274l648,274,685,241,723,274xm798,496l572,496,572,341,612,305,612,274,758,274,758,287,625,287,625,354,585,354,585,474,600,474,585,488,798,488,798,496xm726,408l712,408,745,378,745,287,758,287,758,305,798,341,798,354,785,354,726,408xm732,314l639,314,639,301,732,301,732,314xm732,341l639,341,639,328,732,328,732,341xm600,474l585,474,652,414,585,354,625,354,625,378,659,408,726,408,718,414,722,417,661,417,600,474xm732,368l639,368,639,354,732,354,732,368xm798,474l785,474,785,354,798,354,798,474xm798,488l785,488,710,417,722,417,785,474,798,474,798,48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6">
        <w:r>
          <w:rPr>
            <w:color w:val="FFFFFF"/>
            <w:spacing w:val="-2"/>
          </w:rPr>
          <w:t>imani.pacheco@example.c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152"/>
        <w:ind w:left="196"/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Medford, OR 12345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tabs>
          <w:tab w:pos="497" w:val="left" w:leader="none"/>
        </w:tabs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ICH-GCP</w:t>
      </w:r>
      <w:r>
        <w:rPr>
          <w:color w:val="FFFFFF"/>
          <w:spacing w:val="5"/>
          <w:w w:val="105"/>
        </w:rPr>
        <w:t> </w:t>
      </w:r>
      <w:r>
        <w:rPr>
          <w:color w:val="FFFFFF"/>
          <w:spacing w:val="-2"/>
          <w:w w:val="105"/>
        </w:rPr>
        <w:t>Guidelines</w:t>
      </w:r>
    </w:p>
    <w:p>
      <w:pPr>
        <w:pStyle w:val="BodyText"/>
        <w:tabs>
          <w:tab w:pos="497" w:val="left" w:leader="none"/>
        </w:tabs>
        <w:spacing w:before="153"/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FDA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Regulatory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2"/>
          <w:w w:val="105"/>
        </w:rPr>
        <w:t>Compliance</w:t>
      </w:r>
    </w:p>
    <w:p>
      <w:pPr>
        <w:pStyle w:val="BodyText"/>
        <w:tabs>
          <w:tab w:pos="497" w:val="left" w:leader="none"/>
        </w:tabs>
        <w:spacing w:line="278" w:lineRule="auto" w:before="153"/>
        <w:ind w:left="497" w:right="519" w:hanging="301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Electronic Data Capture </w:t>
      </w:r>
      <w:r>
        <w:rPr>
          <w:color w:val="FFFFFF"/>
          <w:spacing w:val="-4"/>
          <w:w w:val="105"/>
        </w:rPr>
        <w:t>(EDC)</w:t>
      </w:r>
    </w:p>
    <w:p>
      <w:pPr>
        <w:tabs>
          <w:tab w:pos="497" w:val="left" w:leader="none"/>
        </w:tabs>
        <w:spacing w:before="120"/>
        <w:ind w:left="19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4"/>
          <w:w w:val="105"/>
          <w:sz w:val="18"/>
        </w:rPr>
        <w:t>CTMS</w:t>
      </w:r>
    </w:p>
    <w:p>
      <w:pPr>
        <w:pStyle w:val="BodyText"/>
        <w:tabs>
          <w:tab w:pos="497" w:val="left" w:leader="none"/>
        </w:tabs>
        <w:spacing w:before="153"/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</w:rPr>
        <w:t>Medidata</w:t>
      </w:r>
    </w:p>
    <w:p>
      <w:pPr>
        <w:pStyle w:val="BodyText"/>
        <w:tabs>
          <w:tab w:pos="497" w:val="left" w:leader="none"/>
        </w:tabs>
        <w:spacing w:line="261" w:lineRule="auto" w:before="168"/>
        <w:ind w:left="497" w:right="611" w:hanging="301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Trial Master File (TMF)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tabs>
          <w:tab w:pos="497" w:val="left" w:leader="none"/>
        </w:tabs>
        <w:spacing w:before="134"/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Site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Monitoring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2"/>
          <w:w w:val="105"/>
        </w:rPr>
        <w:t>Visits</w:t>
      </w:r>
    </w:p>
    <w:p>
      <w:pPr>
        <w:pStyle w:val="BodyText"/>
        <w:tabs>
          <w:tab w:pos="497" w:val="left" w:leader="none"/>
        </w:tabs>
        <w:spacing w:before="168"/>
        <w:ind w:left="196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</w:rPr>
        <w:t>Protocol</w:t>
      </w:r>
      <w:r>
        <w:rPr>
          <w:color w:val="FFFFFF"/>
          <w:spacing w:val="62"/>
        </w:rPr>
        <w:t> </w:t>
      </w:r>
      <w:r>
        <w:rPr>
          <w:color w:val="FFFFFF"/>
        </w:rPr>
        <w:t>Compliance</w:t>
      </w:r>
      <w:r>
        <w:rPr>
          <w:color w:val="FFFFFF"/>
          <w:spacing w:val="41"/>
        </w:rPr>
        <w:t> </w:t>
      </w:r>
      <w:r>
        <w:rPr>
          <w:color w:val="FFFFFF"/>
          <w:spacing w:val="-2"/>
        </w:rPr>
        <w:t>Auditing</w:t>
      </w:r>
    </w:p>
    <w:p>
      <w:pPr>
        <w:tabs>
          <w:tab w:pos="497" w:val="left" w:leader="none"/>
        </w:tabs>
        <w:spacing w:before="153"/>
        <w:ind w:left="19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HIPAA</w:t>
      </w:r>
    </w:p>
    <w:p>
      <w:pPr>
        <w:pStyle w:val="BodyText"/>
        <w:tabs>
          <w:tab w:pos="497" w:val="left" w:leader="none"/>
        </w:tabs>
        <w:spacing w:before="153"/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Source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Data</w:t>
      </w:r>
      <w:r>
        <w:rPr>
          <w:color w:val="FFFFFF"/>
          <w:spacing w:val="7"/>
          <w:w w:val="105"/>
        </w:rPr>
        <w:t> </w:t>
      </w:r>
      <w:r>
        <w:rPr>
          <w:color w:val="FFFFFF"/>
          <w:spacing w:val="-2"/>
          <w:w w:val="105"/>
        </w:rPr>
        <w:t>Verification</w:t>
      </w:r>
    </w:p>
    <w:p>
      <w:pPr>
        <w:pStyle w:val="BodyText"/>
        <w:tabs>
          <w:tab w:pos="497" w:val="left" w:leader="none"/>
        </w:tabs>
        <w:spacing w:before="153"/>
        <w:ind w:left="196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</w:rPr>
        <w:t>IRB</w:t>
      </w:r>
      <w:r>
        <w:rPr>
          <w:color w:val="FFFFFF"/>
          <w:spacing w:val="5"/>
          <w:w w:val="105"/>
        </w:rPr>
        <w:t> </w:t>
      </w:r>
      <w:r>
        <w:rPr>
          <w:color w:val="FFFFFF"/>
          <w:spacing w:val="-2"/>
          <w:w w:val="105"/>
        </w:rPr>
        <w:t>Submissions</w:t>
      </w:r>
    </w:p>
    <w:p>
      <w:pPr>
        <w:pStyle w:val="BodyText"/>
        <w:spacing w:line="268" w:lineRule="auto" w:before="75"/>
        <w:ind w:left="178" w:right="139"/>
        <w:jc w:val="center"/>
      </w:pPr>
      <w:r>
        <w:rPr/>
        <w:br w:type="column"/>
      </w:r>
      <w:r>
        <w:rPr>
          <w:color w:val="A64D78"/>
          <w:w w:val="105"/>
        </w:rPr>
        <w:t>Certified Clinical Research Associate with 6 years of experience managing multi-site oncology,</w:t>
      </w:r>
      <w:r>
        <w:rPr>
          <w:color w:val="A64D78"/>
          <w:spacing w:val="21"/>
          <w:w w:val="105"/>
        </w:rPr>
        <w:t> </w:t>
      </w:r>
      <w:r>
        <w:rPr>
          <w:color w:val="A64D78"/>
          <w:w w:val="105"/>
        </w:rPr>
        <w:t>cardiology,</w:t>
      </w:r>
      <w:r>
        <w:rPr>
          <w:color w:val="A64D78"/>
          <w:spacing w:val="21"/>
          <w:w w:val="105"/>
        </w:rPr>
        <w:t> </w:t>
      </w:r>
      <w:r>
        <w:rPr>
          <w:color w:val="A64D78"/>
          <w:w w:val="105"/>
        </w:rPr>
        <w:t>and</w:t>
      </w:r>
      <w:r>
        <w:rPr>
          <w:color w:val="A64D78"/>
          <w:spacing w:val="19"/>
          <w:w w:val="105"/>
        </w:rPr>
        <w:t> </w:t>
      </w:r>
      <w:r>
        <w:rPr>
          <w:color w:val="A64D78"/>
          <w:w w:val="105"/>
        </w:rPr>
        <w:t>respiratory</w:t>
      </w:r>
      <w:r>
        <w:rPr>
          <w:color w:val="A64D78"/>
          <w:spacing w:val="21"/>
          <w:w w:val="105"/>
        </w:rPr>
        <w:t> </w:t>
      </w:r>
      <w:r>
        <w:rPr>
          <w:color w:val="A64D78"/>
          <w:w w:val="105"/>
        </w:rPr>
        <w:t>trials</w:t>
      </w:r>
      <w:r>
        <w:rPr>
          <w:color w:val="A64D78"/>
          <w:spacing w:val="21"/>
          <w:w w:val="105"/>
        </w:rPr>
        <w:t> </w:t>
      </w:r>
      <w:r>
        <w:rPr>
          <w:color w:val="A64D78"/>
          <w:w w:val="105"/>
        </w:rPr>
        <w:t>across</w:t>
      </w:r>
      <w:r>
        <w:rPr>
          <w:color w:val="A64D78"/>
          <w:spacing w:val="21"/>
          <w:w w:val="105"/>
        </w:rPr>
        <w:t> </w:t>
      </w:r>
      <w:r>
        <w:rPr>
          <w:color w:val="A64D78"/>
          <w:w w:val="105"/>
        </w:rPr>
        <w:t>Phases</w:t>
      </w:r>
      <w:r>
        <w:rPr>
          <w:color w:val="A64D78"/>
          <w:spacing w:val="21"/>
          <w:w w:val="105"/>
        </w:rPr>
        <w:t> </w:t>
      </w:r>
      <w:r>
        <w:rPr>
          <w:color w:val="A64D78"/>
          <w:w w:val="105"/>
        </w:rPr>
        <w:t>II</w:t>
      </w:r>
      <w:r>
        <w:rPr>
          <w:color w:val="A64D78"/>
          <w:spacing w:val="21"/>
          <w:w w:val="105"/>
        </w:rPr>
        <w:t> </w:t>
      </w:r>
      <w:r>
        <w:rPr>
          <w:color w:val="A64D78"/>
          <w:w w:val="105"/>
        </w:rPr>
        <w:t>and</w:t>
      </w:r>
      <w:r>
        <w:rPr>
          <w:color w:val="A64D78"/>
          <w:spacing w:val="19"/>
          <w:w w:val="105"/>
        </w:rPr>
        <w:t> </w:t>
      </w:r>
      <w:r>
        <w:rPr>
          <w:color w:val="A64D78"/>
          <w:w w:val="105"/>
        </w:rPr>
        <w:t>III.</w:t>
      </w:r>
      <w:r>
        <w:rPr>
          <w:color w:val="A64D78"/>
          <w:spacing w:val="21"/>
          <w:w w:val="105"/>
        </w:rPr>
        <w:t> </w:t>
      </w:r>
      <w:r>
        <w:rPr>
          <w:color w:val="A64D78"/>
          <w:w w:val="105"/>
        </w:rPr>
        <w:t>Closed</w:t>
      </w:r>
      <w:r>
        <w:rPr>
          <w:color w:val="A64D78"/>
          <w:spacing w:val="19"/>
          <w:w w:val="105"/>
        </w:rPr>
        <w:t> </w:t>
      </w:r>
      <w:r>
        <w:rPr>
          <w:color w:val="A64D78"/>
          <w:w w:val="105"/>
        </w:rPr>
        <w:t>97.74% of open action items within 14 days during 38 audit-readiness reviews of site-level TMF binders while training 27 site staff members on informed consent procedures</w:t>
      </w:r>
      <w:r>
        <w:rPr>
          <w:color w:val="A64D78"/>
          <w:spacing w:val="80"/>
          <w:w w:val="105"/>
        </w:rPr>
        <w:t> </w:t>
      </w:r>
      <w:r>
        <w:rPr>
          <w:color w:val="A64D78"/>
          <w:w w:val="105"/>
        </w:rPr>
        <w:t>and CTMS data entry workflows.</w:t>
      </w:r>
    </w:p>
    <w:p>
      <w:pPr>
        <w:pStyle w:val="BodyText"/>
        <w:spacing w:before="6"/>
        <w:rPr>
          <w:sz w:val="19"/>
        </w:rPr>
      </w:pPr>
    </w:p>
    <w:p>
      <w:pPr>
        <w:spacing w:line="20" w:lineRule="exact"/>
        <w:ind w:left="-24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819650" cy="9525"/>
                <wp:effectExtent l="0" t="0" r="0" b="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819650" cy="9525"/>
                          <a:chExt cx="4819650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9.5pt;height:.75pt;mso-position-horizontal-relative:char;mso-position-vertical-relative:line" id="docshapegroup4" coordorigin="0,0" coordsize="7590,15">
                <v:rect style="position:absolute;left:0;top:0;width:7590;height:15" id="docshape5" filled="true" fillcolor="#000000" stroked="false">
                  <v:fill opacity="32899f"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spacing w:before="188"/>
        <w:ind w:left="14"/>
        <w:jc w:val="left"/>
      </w:pP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278" w:lineRule="auto" w:before="264"/>
        <w:ind w:left="14"/>
      </w:pPr>
      <w:r>
        <w:rPr>
          <w:w w:val="105"/>
        </w:rPr>
        <w:t>CLINICAL RESEARCH</w:t>
      </w:r>
      <w:r>
        <w:rPr>
          <w:spacing w:val="-4"/>
          <w:w w:val="105"/>
        </w:rPr>
        <w:t> </w:t>
      </w:r>
      <w:r>
        <w:rPr>
          <w:w w:val="105"/>
        </w:rPr>
        <w:t>ASSOCIATE II | ROGUE VALLEY CLINICAL SCIENCES, MEDFORD, OR</w:t>
      </w:r>
    </w:p>
    <w:p>
      <w:pPr>
        <w:pStyle w:val="BodyText"/>
        <w:spacing w:before="45"/>
        <w:ind w:left="14"/>
      </w:pPr>
      <w:r>
        <w:rPr>
          <w:w w:val="105"/>
        </w:rPr>
        <w:t>2023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6"/>
      </w:pPr>
    </w:p>
    <w:p>
      <w:pPr>
        <w:pStyle w:val="BodyText"/>
        <w:tabs>
          <w:tab w:pos="534" w:val="left" w:leader="none"/>
        </w:tabs>
        <w:spacing w:line="261" w:lineRule="auto"/>
        <w:ind w:left="534" w:right="563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Completed 87 clinical trial audits across 4 Phase II and Phase III oncology studies, resolving 34 findings before sponsor deadlines.</w:t>
      </w:r>
    </w:p>
    <w:p>
      <w:pPr>
        <w:pStyle w:val="BodyText"/>
        <w:tabs>
          <w:tab w:pos="534" w:val="left" w:leader="none"/>
        </w:tabs>
        <w:spacing w:line="278" w:lineRule="auto" w:before="104"/>
        <w:ind w:left="534" w:right="563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Managed 11 clinical sites spanning 3 states, coordinating monitoring visit</w:t>
      </w:r>
      <w:r>
        <w:rPr>
          <w:spacing w:val="40"/>
          <w:w w:val="105"/>
        </w:rPr>
        <w:t> </w:t>
      </w:r>
      <w:r>
        <w:rPr>
          <w:w w:val="105"/>
        </w:rPr>
        <w:t>schedules and maintaining ICH-GCP compliance documentation in the TMF.</w:t>
      </w:r>
    </w:p>
    <w:p>
      <w:pPr>
        <w:pStyle w:val="BodyText"/>
        <w:tabs>
          <w:tab w:pos="534" w:val="left" w:leader="none"/>
        </w:tabs>
        <w:spacing w:line="278" w:lineRule="auto" w:before="75"/>
        <w:ind w:left="534" w:right="399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Shortened trial setup time by 19 days for a cardiology study by standardizing</w:t>
      </w:r>
      <w:r>
        <w:rPr>
          <w:spacing w:val="40"/>
          <w:w w:val="105"/>
        </w:rPr>
        <w:t> </w:t>
      </w:r>
      <w:r>
        <w:rPr>
          <w:w w:val="105"/>
        </w:rPr>
        <w:t>site qualification templates and IRB submission packets.</w:t>
      </w:r>
    </w:p>
    <w:p>
      <w:pPr>
        <w:pStyle w:val="BodyText"/>
        <w:tabs>
          <w:tab w:pos="534" w:val="left" w:leader="none"/>
        </w:tabs>
        <w:spacing w:line="261" w:lineRule="auto" w:before="90"/>
        <w:ind w:left="534" w:right="399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Trained 27 site staff members on updated informed consent procedures and CTMS data entry workflows over 9 months.</w:t>
      </w:r>
    </w:p>
    <w:p>
      <w:pPr>
        <w:pStyle w:val="BodyText"/>
        <w:spacing w:before="31"/>
      </w:pPr>
    </w:p>
    <w:p>
      <w:pPr>
        <w:pStyle w:val="BodyText"/>
        <w:spacing w:line="261" w:lineRule="auto"/>
        <w:ind w:left="14"/>
      </w:pPr>
      <w:r>
        <w:rPr>
          <w:w w:val="105"/>
        </w:rPr>
        <w:t>CLINICAL RESEARCH</w:t>
      </w:r>
      <w:r>
        <w:rPr>
          <w:spacing w:val="-2"/>
          <w:w w:val="105"/>
        </w:rPr>
        <w:t> </w:t>
      </w:r>
      <w:r>
        <w:rPr>
          <w:w w:val="105"/>
        </w:rPr>
        <w:t>ASSOCIATE | CASCADE RIDGE THERAPEUTICS, GRANTS PASS, OR</w:t>
      </w:r>
    </w:p>
    <w:p>
      <w:pPr>
        <w:pStyle w:val="BodyText"/>
        <w:spacing w:before="74"/>
        <w:ind w:left="14"/>
      </w:pPr>
      <w:r>
        <w:rPr>
          <w:w w:val="105"/>
        </w:rPr>
        <w:t>2021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51"/>
      </w:pPr>
    </w:p>
    <w:p>
      <w:pPr>
        <w:pStyle w:val="BodyText"/>
        <w:tabs>
          <w:tab w:pos="534" w:val="left" w:leader="none"/>
        </w:tabs>
        <w:spacing w:line="278" w:lineRule="auto"/>
        <w:ind w:left="534" w:right="563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Conducted independent monitoring visits at 8 clinical sites, verifying source</w:t>
      </w:r>
      <w:r>
        <w:rPr>
          <w:spacing w:val="40"/>
          <w:w w:val="105"/>
        </w:rPr>
        <w:t> </w:t>
      </w:r>
      <w:r>
        <w:rPr>
          <w:w w:val="105"/>
        </w:rPr>
        <w:t>data against EDC entries for 3 concurrent trials.</w:t>
      </w:r>
    </w:p>
    <w:p>
      <w:pPr>
        <w:pStyle w:val="BodyText"/>
        <w:tabs>
          <w:tab w:pos="534" w:val="left" w:leader="none"/>
        </w:tabs>
        <w:spacing w:line="261" w:lineRule="auto" w:before="90"/>
        <w:ind w:left="534" w:right="803" w:hanging="297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trial setup time from 46 days to 33 days by creating a reusable</w:t>
      </w:r>
      <w:r>
        <w:rPr>
          <w:spacing w:val="40"/>
          <w:w w:val="105"/>
        </w:rPr>
        <w:t> </w:t>
      </w:r>
      <w:r>
        <w:rPr>
          <w:w w:val="105"/>
        </w:rPr>
        <w:t>regulatory binder checklist adopted across the CRA team.</w:t>
      </w:r>
    </w:p>
    <w:p>
      <w:pPr>
        <w:pStyle w:val="BodyText"/>
        <w:tabs>
          <w:tab w:pos="534" w:val="left" w:leader="none"/>
        </w:tabs>
        <w:spacing w:line="261" w:lineRule="auto" w:before="104"/>
        <w:ind w:left="534" w:right="803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Performed 38 audit-readiness reviews of site-level TMF binders, closing 97.74% of open action items within 14 days.</w:t>
      </w:r>
    </w:p>
    <w:p>
      <w:pPr>
        <w:pStyle w:val="BodyText"/>
        <w:tabs>
          <w:tab w:pos="534" w:val="left" w:leader="none"/>
        </w:tabs>
        <w:spacing w:line="278" w:lineRule="auto" w:before="104"/>
        <w:ind w:left="534" w:right="803" w:hanging="297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 IRT configuration and drug shipment tracking for a Phase III respiratory trial enrolling 214 participants.</w:t>
      </w:r>
    </w:p>
    <w:p>
      <w:pPr>
        <w:pStyle w:val="BodyText"/>
        <w:spacing w:before="2"/>
      </w:pPr>
    </w:p>
    <w:p>
      <w:pPr>
        <w:pStyle w:val="BodyText"/>
        <w:spacing w:line="278" w:lineRule="auto"/>
        <w:ind w:left="14"/>
      </w:pPr>
      <w:r>
        <w:rPr>
          <w:w w:val="105"/>
        </w:rPr>
        <w:t>CLINICAL</w:t>
      </w:r>
      <w:r>
        <w:rPr>
          <w:spacing w:val="-1"/>
          <w:w w:val="105"/>
        </w:rPr>
        <w:t> </w:t>
      </w:r>
      <w:r>
        <w:rPr>
          <w:w w:val="105"/>
        </w:rPr>
        <w:t>RESEARCH</w:t>
      </w:r>
      <w:r>
        <w:rPr>
          <w:spacing w:val="-5"/>
          <w:w w:val="105"/>
        </w:rPr>
        <w:t> </w:t>
      </w:r>
      <w:r>
        <w:rPr>
          <w:w w:val="105"/>
        </w:rPr>
        <w:t>ASSISTANT | UMPQUA</w:t>
      </w:r>
      <w:r>
        <w:rPr>
          <w:spacing w:val="-5"/>
          <w:w w:val="105"/>
        </w:rPr>
        <w:t> </w:t>
      </w:r>
      <w:r>
        <w:rPr>
          <w:w w:val="105"/>
        </w:rPr>
        <w:t>BASIN HEALTH RESEARCH, ROSEBURG, OR</w:t>
      </w:r>
    </w:p>
    <w:p>
      <w:pPr>
        <w:pStyle w:val="BodyText"/>
        <w:spacing w:before="45"/>
        <w:ind w:left="14"/>
      </w:pPr>
      <w:r>
        <w:rPr>
          <w:w w:val="105"/>
        </w:rPr>
        <w:t>2020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283"/>
          <w:cols w:num="2" w:equalWidth="0">
            <w:col w:w="3075" w:space="738"/>
            <w:col w:w="7541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47925" cy="1070483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44792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47924" y="0"/>
                              </a:lnTo>
                              <a:lnTo>
                                <a:pt x="2447924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2.749983pt;height:842.879997pt;mso-position-horizontal-relative:page;mso-position-vertical-relative:page;z-index:-15810560" id="docshape6" filled="true" fillcolor="#134e5c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47925" cy="240923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0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4348" w:val="left" w:leader="none"/>
        </w:tabs>
        <w:spacing w:line="261" w:lineRule="auto" w:before="0" w:after="0"/>
        <w:ind w:left="4348" w:right="408" w:hanging="297"/>
        <w:jc w:val="left"/>
        <w:rPr>
          <w:sz w:val="18"/>
        </w:rPr>
      </w:pPr>
      <w:r>
        <w:rPr>
          <w:w w:val="105"/>
          <w:sz w:val="18"/>
        </w:rPr>
        <w:t>Supported 6 clinical sites during a Phase II dermatology trial, preparing visit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reports and filing 412 essential documents in the TMF.</w:t>
      </w:r>
    </w:p>
    <w:p>
      <w:pPr>
        <w:pStyle w:val="ListParagraph"/>
        <w:numPr>
          <w:ilvl w:val="0"/>
          <w:numId w:val="1"/>
        </w:numPr>
        <w:tabs>
          <w:tab w:pos="4348" w:val="left" w:leader="none"/>
        </w:tabs>
        <w:spacing w:line="278" w:lineRule="auto" w:before="104" w:after="0"/>
        <w:ind w:left="4348" w:right="878" w:hanging="297"/>
        <w:jc w:val="left"/>
        <w:rPr>
          <w:sz w:val="18"/>
        </w:rPr>
      </w:pPr>
      <w:r>
        <w:rPr>
          <w:w w:val="105"/>
          <w:sz w:val="18"/>
        </w:rPr>
        <w:t>Verified 173 adverse event entries in Medidata against source records, flagging 9 discrepancies for medical monitor review.</w:t>
      </w:r>
    </w:p>
    <w:p>
      <w:pPr>
        <w:pStyle w:val="ListParagraph"/>
        <w:numPr>
          <w:ilvl w:val="0"/>
          <w:numId w:val="1"/>
        </w:numPr>
        <w:tabs>
          <w:tab w:pos="4348" w:val="left" w:leader="none"/>
        </w:tabs>
        <w:spacing w:line="278" w:lineRule="auto" w:before="75" w:after="0"/>
        <w:ind w:left="4348" w:right="233" w:hanging="297"/>
        <w:jc w:val="left"/>
        <w:rPr>
          <w:sz w:val="18"/>
        </w:rPr>
      </w:pPr>
      <w:r>
        <w:rPr>
          <w:w w:val="105"/>
          <w:sz w:val="18"/>
        </w:rPr>
        <w:t>Reduced site activation delays by 7 days by pre-screening regulatory packets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for missing FDA Form 1572 signatures.</w:t>
      </w:r>
    </w:p>
    <w:p>
      <w:pPr>
        <w:pStyle w:val="Heading2"/>
        <w:spacing w:before="181"/>
        <w:ind w:right="2382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BodyText"/>
        <w:spacing w:before="73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124" w:val="left" w:leader="none"/>
        </w:tabs>
        <w:spacing w:line="240" w:lineRule="auto" w:before="0" w:after="0"/>
        <w:ind w:left="4124" w:right="0" w:hanging="298"/>
        <w:jc w:val="left"/>
        <w:rPr>
          <w:sz w:val="18"/>
        </w:rPr>
      </w:pPr>
      <w:r>
        <w:rPr>
          <w:sz w:val="18"/>
        </w:rPr>
        <w:t>BS</w:t>
      </w:r>
      <w:r>
        <w:rPr>
          <w:spacing w:val="12"/>
          <w:sz w:val="18"/>
        </w:rPr>
        <w:t> </w:t>
      </w:r>
      <w:r>
        <w:rPr>
          <w:sz w:val="18"/>
        </w:rPr>
        <w:t>in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Biology</w:t>
      </w:r>
    </w:p>
    <w:p>
      <w:pPr>
        <w:pStyle w:val="BodyText"/>
        <w:spacing w:before="78"/>
        <w:ind w:left="4124"/>
      </w:pPr>
      <w:r>
        <w:rPr>
          <w:w w:val="105"/>
        </w:rPr>
        <w:t>Southern</w:t>
      </w:r>
      <w:r>
        <w:rPr>
          <w:spacing w:val="6"/>
          <w:w w:val="105"/>
        </w:rPr>
        <w:t> </w:t>
      </w:r>
      <w:r>
        <w:rPr>
          <w:w w:val="105"/>
        </w:rPr>
        <w:t>Oregon</w:t>
      </w:r>
      <w:r>
        <w:rPr>
          <w:spacing w:val="7"/>
          <w:w w:val="105"/>
        </w:rPr>
        <w:t> </w:t>
      </w:r>
      <w:r>
        <w:rPr>
          <w:w w:val="105"/>
        </w:rPr>
        <w:t>University,</w:t>
      </w:r>
      <w:r>
        <w:rPr>
          <w:spacing w:val="7"/>
          <w:w w:val="105"/>
        </w:rPr>
        <w:t> </w:t>
      </w:r>
      <w:r>
        <w:rPr>
          <w:w w:val="105"/>
        </w:rPr>
        <w:t>Ashland,</w:t>
      </w:r>
      <w:r>
        <w:rPr>
          <w:spacing w:val="6"/>
          <w:w w:val="105"/>
        </w:rPr>
        <w:t> </w:t>
      </w:r>
      <w:r>
        <w:rPr>
          <w:w w:val="105"/>
        </w:rPr>
        <w:t>OR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2016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8"/>
      </w:pPr>
    </w:p>
    <w:p>
      <w:pPr>
        <w:pStyle w:val="Heading2"/>
        <w:ind w:left="3850" w:right="5806"/>
      </w:pPr>
      <w:r>
        <w:rPr>
          <w:color w:val="A64D78"/>
          <w:spacing w:val="-2"/>
          <w:sz w:val="29"/>
        </w:rPr>
        <w:t>C</w:t>
      </w:r>
      <w:r>
        <w:rPr>
          <w:color w:val="A64D78"/>
          <w:spacing w:val="-2"/>
        </w:rPr>
        <w:t>ertifications</w:t>
      </w:r>
    </w:p>
    <w:p>
      <w:pPr>
        <w:pStyle w:val="Heading2"/>
        <w:spacing w:after="0"/>
        <w:sectPr>
          <w:type w:val="continuous"/>
          <w:pgSz w:w="11920" w:h="16860"/>
          <w:pgMar w:top="0" w:bottom="0" w:left="283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47925" cy="1070483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44792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447924" y="0"/>
                              </a:lnTo>
                              <a:lnTo>
                                <a:pt x="2447924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192.749983pt;height:842.879997pt;mso-position-horizontal-relative:page;mso-position-vertical-relative:page;z-index:-15809024" id="docshape7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92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124" w:val="left" w:leader="none"/>
        </w:tabs>
        <w:spacing w:line="261" w:lineRule="auto" w:before="0" w:after="0"/>
        <w:ind w:left="4124" w:right="1246" w:hanging="298"/>
        <w:jc w:val="left"/>
        <w:rPr>
          <w:sz w:val="18"/>
        </w:rPr>
      </w:pPr>
      <w:r>
        <w:rPr>
          <w:sz w:val="18"/>
        </w:rPr>
        <w:t>Certified</w:t>
      </w:r>
      <w:r>
        <w:rPr>
          <w:spacing w:val="40"/>
          <w:sz w:val="18"/>
        </w:rPr>
        <w:t> </w:t>
      </w:r>
      <w:r>
        <w:rPr>
          <w:sz w:val="18"/>
        </w:rPr>
        <w:t>Clinical</w:t>
      </w:r>
      <w:r>
        <w:rPr>
          <w:spacing w:val="40"/>
          <w:sz w:val="18"/>
        </w:rPr>
        <w:t> </w:t>
      </w:r>
      <w:r>
        <w:rPr>
          <w:sz w:val="18"/>
        </w:rPr>
        <w:t>Research</w:t>
      </w:r>
      <w:r>
        <w:rPr>
          <w:spacing w:val="40"/>
          <w:sz w:val="18"/>
        </w:rPr>
        <w:t> </w:t>
      </w:r>
      <w:r>
        <w:rPr>
          <w:sz w:val="18"/>
        </w:rPr>
        <w:t>Associate</w:t>
      </w:r>
      <w:r>
        <w:rPr>
          <w:spacing w:val="40"/>
          <w:sz w:val="18"/>
        </w:rPr>
        <w:t> </w:t>
      </w:r>
      <w:r>
        <w:rPr>
          <w:sz w:val="18"/>
        </w:rPr>
        <w:t>|</w:t>
      </w:r>
      <w:r>
        <w:rPr>
          <w:spacing w:val="40"/>
          <w:sz w:val="18"/>
        </w:rPr>
        <w:t> </w:t>
      </w:r>
      <w:r>
        <w:rPr>
          <w:sz w:val="18"/>
        </w:rPr>
        <w:t>Academy</w:t>
      </w:r>
      <w:r>
        <w:rPr>
          <w:spacing w:val="40"/>
          <w:sz w:val="18"/>
        </w:rPr>
        <w:t> </w:t>
      </w:r>
      <w:r>
        <w:rPr>
          <w:sz w:val="18"/>
        </w:rPr>
        <w:t>of</w:t>
      </w:r>
      <w:r>
        <w:rPr>
          <w:spacing w:val="40"/>
          <w:sz w:val="18"/>
        </w:rPr>
        <w:t> </w:t>
      </w:r>
      <w:r>
        <w:rPr>
          <w:sz w:val="18"/>
        </w:rPr>
        <w:t>Clinical</w:t>
      </w:r>
      <w:r>
        <w:rPr>
          <w:spacing w:val="40"/>
          <w:sz w:val="18"/>
        </w:rPr>
        <w:t> </w:t>
      </w:r>
      <w:r>
        <w:rPr>
          <w:sz w:val="18"/>
        </w:rPr>
        <w:t>Research Professionals | 2022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numPicBullet w:numPicBulletId="1">
    <w:pict>
      <v:shape id="_x0000_i1076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348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1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42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43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44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46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47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48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49" w:hanging="2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&amp;"/>
      <w:lvlPicBulletId w:val="1"/>
      <w:lvlJc w:val="left"/>
      <w:pPr>
        <w:ind w:left="4124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4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6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8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01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3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5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8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05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348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mani.pacheco@example.c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2026-10-10T05:26:44Z</dcterms:created>
  <dcterms:modified xsi:type="dcterms:W3CDTF">2026-10-10T05:26:44Z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