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58"/>
        <w:rPr>
          <w:rFonts w:ascii="Times New Roman"/>
          <w:sz w:val="67"/>
        </w:rPr>
      </w:pPr>
    </w:p>
    <w:p>
      <w:pPr>
        <w:pStyle w:val="Heading1"/>
      </w:pPr>
      <w:r>
        <w:rPr>
          <w:color w:val="4D09A2"/>
        </w:rPr>
        <w:t>Soren</w:t>
      </w:r>
      <w:r>
        <w:rPr>
          <w:color w:val="4D09A2"/>
          <w:spacing w:val="-24"/>
        </w:rPr>
        <w:t> </w:t>
      </w:r>
      <w:r>
        <w:rPr>
          <w:color w:val="4D09A2"/>
          <w:spacing w:val="-2"/>
        </w:rPr>
        <w:t>Donnelly</w:t>
      </w:r>
    </w:p>
    <w:p>
      <w:pPr>
        <w:pStyle w:val="BodyText"/>
        <w:spacing w:before="52"/>
        <w:rPr>
          <w:b/>
          <w:sz w:val="18"/>
        </w:rPr>
      </w:pPr>
    </w:p>
    <w:p>
      <w:pPr>
        <w:spacing w:before="0"/>
        <w:ind w:left="3823" w:right="0" w:firstLine="0"/>
        <w:jc w:val="center"/>
        <w:rPr>
          <w:sz w:val="18"/>
        </w:rPr>
      </w:pPr>
      <w:r>
        <w:rPr>
          <w:color w:val="4D09A2"/>
          <w:sz w:val="18"/>
        </w:rPr>
        <w:t>General</w:t>
      </w:r>
      <w:r>
        <w:rPr>
          <w:color w:val="4D09A2"/>
          <w:spacing w:val="14"/>
          <w:sz w:val="18"/>
        </w:rPr>
        <w:t> </w:t>
      </w:r>
      <w:r>
        <w:rPr>
          <w:color w:val="4D09A2"/>
          <w:spacing w:val="-2"/>
          <w:sz w:val="18"/>
        </w:rPr>
        <w:t>Contractor</w:t>
      </w:r>
    </w:p>
    <w:p>
      <w:pPr>
        <w:pStyle w:val="BodyText"/>
        <w:spacing w:before="6"/>
        <w:rPr>
          <w:sz w:val="18"/>
        </w:rPr>
      </w:pPr>
    </w:p>
    <w:p>
      <w:pPr>
        <w:spacing w:line="271" w:lineRule="auto" w:before="0"/>
        <w:ind w:left="4275" w:right="449" w:firstLine="0"/>
        <w:jc w:val="center"/>
        <w:rPr>
          <w:sz w:val="18"/>
        </w:rPr>
      </w:pPr>
      <w:r>
        <w:rPr>
          <w:color w:val="4D09A2"/>
          <w:w w:val="105"/>
          <w:sz w:val="18"/>
        </w:rPr>
        <w:t>Experienced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in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managing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up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to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5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concurrent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custom</w:t>
      </w:r>
      <w:r>
        <w:rPr>
          <w:color w:val="4D09A2"/>
          <w:spacing w:val="-14"/>
          <w:w w:val="105"/>
          <w:sz w:val="18"/>
        </w:rPr>
        <w:t> </w:t>
      </w:r>
      <w:r>
        <w:rPr>
          <w:color w:val="4D09A2"/>
          <w:w w:val="105"/>
          <w:sz w:val="18"/>
        </w:rPr>
        <w:t>home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commercial</w:t>
      </w:r>
      <w:r>
        <w:rPr>
          <w:color w:val="4D09A2"/>
          <w:spacing w:val="-13"/>
          <w:w w:val="105"/>
          <w:sz w:val="18"/>
        </w:rPr>
        <w:t> </w:t>
      </w:r>
      <w:r>
        <w:rPr>
          <w:color w:val="4D09A2"/>
          <w:w w:val="105"/>
          <w:sz w:val="18"/>
        </w:rPr>
        <w:t>builds, with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estimate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accuracy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held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to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3.2%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variance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across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projects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averaging</w:t>
      </w:r>
      <w:r>
        <w:rPr>
          <w:color w:val="4D09A2"/>
          <w:spacing w:val="-10"/>
          <w:w w:val="105"/>
          <w:sz w:val="18"/>
        </w:rPr>
        <w:t> </w:t>
      </w:r>
      <w:r>
        <w:rPr>
          <w:color w:val="4D09A2"/>
          <w:w w:val="105"/>
          <w:sz w:val="18"/>
        </w:rPr>
        <w:t>$847,200 by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reﬁning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quantity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takeoffs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and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labor-hour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projections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in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OPC</w:t>
      </w:r>
      <w:r>
        <w:rPr>
          <w:color w:val="4D09A2"/>
          <w:spacing w:val="-1"/>
          <w:w w:val="105"/>
          <w:sz w:val="18"/>
        </w:rPr>
        <w:t> </w:t>
      </w:r>
      <w:r>
        <w:rPr>
          <w:color w:val="4D09A2"/>
          <w:w w:val="105"/>
          <w:sz w:val="18"/>
        </w:rPr>
        <w:t>estimating</w:t>
      </w:r>
      <w:r>
        <w:rPr>
          <w:color w:val="4D09A2"/>
          <w:w w:val="105"/>
          <w:sz w:val="18"/>
        </w:rPr>
        <w:t> software. Over 6 years of construction management work, built a record of reducing</w:t>
      </w:r>
      <w:r>
        <w:rPr>
          <w:color w:val="4D09A2"/>
          <w:spacing w:val="-5"/>
          <w:w w:val="105"/>
          <w:sz w:val="18"/>
        </w:rPr>
        <w:t> </w:t>
      </w:r>
      <w:r>
        <w:rPr>
          <w:color w:val="4D09A2"/>
          <w:w w:val="105"/>
          <w:sz w:val="18"/>
        </w:rPr>
        <w:t>safety</w:t>
      </w:r>
      <w:r>
        <w:rPr>
          <w:color w:val="4D09A2"/>
          <w:spacing w:val="-5"/>
          <w:w w:val="105"/>
          <w:sz w:val="18"/>
        </w:rPr>
        <w:t> </w:t>
      </w:r>
      <w:r>
        <w:rPr>
          <w:color w:val="4D09A2"/>
          <w:w w:val="105"/>
          <w:sz w:val="18"/>
        </w:rPr>
        <w:t>incidents,</w:t>
      </w:r>
      <w:r>
        <w:rPr>
          <w:color w:val="4D09A2"/>
          <w:spacing w:val="-5"/>
          <w:w w:val="105"/>
          <w:sz w:val="18"/>
        </w:rPr>
        <w:t> </w:t>
      </w:r>
      <w:r>
        <w:rPr>
          <w:color w:val="4D09A2"/>
          <w:w w:val="105"/>
          <w:sz w:val="18"/>
        </w:rPr>
        <w:t>coordinating</w:t>
      </w:r>
      <w:r>
        <w:rPr>
          <w:color w:val="4D09A2"/>
          <w:spacing w:val="-5"/>
          <w:w w:val="105"/>
          <w:sz w:val="18"/>
        </w:rPr>
        <w:t> </w:t>
      </w:r>
      <w:r>
        <w:rPr>
          <w:color w:val="4D09A2"/>
          <w:w w:val="105"/>
          <w:sz w:val="18"/>
        </w:rPr>
        <w:t>subcontractor</w:t>
      </w:r>
      <w:r>
        <w:rPr>
          <w:color w:val="4D09A2"/>
          <w:spacing w:val="-5"/>
          <w:w w:val="105"/>
          <w:sz w:val="18"/>
        </w:rPr>
        <w:t> </w:t>
      </w:r>
      <w:r>
        <w:rPr>
          <w:color w:val="4D09A2"/>
          <w:w w:val="105"/>
          <w:sz w:val="18"/>
        </w:rPr>
        <w:t>sequencing</w:t>
      </w:r>
      <w:r>
        <w:rPr>
          <w:color w:val="4D09A2"/>
          <w:spacing w:val="-5"/>
          <w:w w:val="105"/>
          <w:sz w:val="18"/>
        </w:rPr>
        <w:t> </w:t>
      </w:r>
      <w:r>
        <w:rPr>
          <w:color w:val="4D09A2"/>
          <w:w w:val="105"/>
          <w:sz w:val="18"/>
        </w:rPr>
        <w:t>in</w:t>
      </w:r>
      <w:r>
        <w:rPr>
          <w:color w:val="4D09A2"/>
          <w:spacing w:val="-5"/>
          <w:w w:val="105"/>
          <w:sz w:val="18"/>
        </w:rPr>
        <w:t> </w:t>
      </w:r>
      <w:r>
        <w:rPr>
          <w:color w:val="4D09A2"/>
          <w:w w:val="105"/>
          <w:sz w:val="18"/>
        </w:rPr>
        <w:t>Procore,</w:t>
      </w:r>
      <w:r>
        <w:rPr>
          <w:color w:val="4D09A2"/>
          <w:spacing w:val="-5"/>
          <w:w w:val="105"/>
          <w:sz w:val="18"/>
        </w:rPr>
        <w:t> </w:t>
      </w:r>
      <w:r>
        <w:rPr>
          <w:color w:val="4D09A2"/>
          <w:w w:val="105"/>
          <w:sz w:val="18"/>
        </w:rPr>
        <w:t>and self-performing framing and ﬁnish carpentry on residential scopes.</w:t>
      </w:r>
    </w:p>
    <w:p>
      <w:pPr>
        <w:pStyle w:val="BodyText"/>
        <w:spacing w:before="1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0" w:bottom="0" w:left="283" w:right="141"/>
        </w:sectPr>
      </w:pPr>
    </w:p>
    <w:p>
      <w:pPr>
        <w:pStyle w:val="Heading3"/>
        <w:spacing w:before="74"/>
      </w:pPr>
      <w:r>
        <w:rPr>
          <w:color w:val="FFFFFF"/>
          <w:spacing w:val="-2"/>
          <w:w w:val="105"/>
        </w:rPr>
        <w:t>Location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Thermopolis,</w:t>
      </w:r>
      <w:r>
        <w:rPr>
          <w:color w:val="FFFFFF"/>
          <w:spacing w:val="21"/>
          <w:sz w:val="18"/>
        </w:rPr>
        <w:t> </w:t>
      </w:r>
      <w:r>
        <w:rPr>
          <w:color w:val="FFFFFF"/>
          <w:spacing w:val="-5"/>
          <w:sz w:val="18"/>
        </w:rPr>
        <w:t>WY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Phone</w:t>
      </w:r>
    </w:p>
    <w:p>
      <w:pPr>
        <w:spacing w:before="16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(307)</w:t>
      </w:r>
      <w:r>
        <w:rPr>
          <w:color w:val="FFFFFF"/>
          <w:spacing w:val="16"/>
          <w:sz w:val="18"/>
        </w:rPr>
        <w:t> </w:t>
      </w:r>
      <w:r>
        <w:rPr>
          <w:color w:val="FFFFFF"/>
          <w:sz w:val="18"/>
        </w:rPr>
        <w:t>555-</w:t>
      </w:r>
      <w:r>
        <w:rPr>
          <w:color w:val="FFFFFF"/>
          <w:spacing w:val="-4"/>
          <w:sz w:val="18"/>
        </w:rPr>
        <w:t>0125</w:t>
      </w:r>
    </w:p>
    <w:p>
      <w:pPr>
        <w:pStyle w:val="BodyText"/>
        <w:spacing w:before="141"/>
        <w:rPr>
          <w:sz w:val="18"/>
        </w:rPr>
      </w:pPr>
    </w:p>
    <w:p>
      <w:pPr>
        <w:pStyle w:val="Heading3"/>
      </w:pPr>
      <w:r>
        <w:rPr>
          <w:color w:val="FFFFFF"/>
          <w:spacing w:val="-2"/>
          <w:w w:val="105"/>
        </w:rPr>
        <w:t>Email</w:t>
      </w:r>
    </w:p>
    <w:p>
      <w:pPr>
        <w:spacing w:before="168"/>
        <w:ind w:left="404" w:right="0" w:firstLine="0"/>
        <w:jc w:val="left"/>
        <w:rPr>
          <w:sz w:val="18"/>
        </w:rPr>
      </w:pPr>
      <w:hyperlink r:id="rId5">
        <w:r>
          <w:rPr>
            <w:color w:val="FFFFFF"/>
            <w:spacing w:val="-2"/>
            <w:w w:val="105"/>
            <w:sz w:val="18"/>
          </w:rPr>
          <w:t>soren.donnelly@example.com</w:t>
        </w:r>
      </w:hyperlink>
    </w:p>
    <w:p>
      <w:pPr>
        <w:pStyle w:val="BodyText"/>
        <w:spacing w:before="145"/>
        <w:rPr>
          <w:sz w:val="18"/>
        </w:rPr>
      </w:pPr>
    </w:p>
    <w:p>
      <w:pPr>
        <w:pStyle w:val="Heading2"/>
      </w:pPr>
      <w:r>
        <w:rPr>
          <w:color w:val="FFFFFF"/>
          <w:spacing w:val="-2"/>
        </w:rPr>
        <w:t>Education</w:t>
      </w:r>
    </w:p>
    <w:p>
      <w:pPr>
        <w:spacing w:line="261" w:lineRule="auto" w:before="185"/>
        <w:ind w:left="404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University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of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Wyoming,</w:t>
      </w:r>
      <w:r>
        <w:rPr>
          <w:color w:val="FFFFFF"/>
          <w:spacing w:val="-10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Laramie, </w:t>
      </w:r>
      <w:r>
        <w:rPr>
          <w:color w:val="FFFFFF"/>
          <w:spacing w:val="-6"/>
          <w:w w:val="105"/>
          <w:sz w:val="18"/>
        </w:rPr>
        <w:t>WY</w:t>
      </w:r>
    </w:p>
    <w:p>
      <w:pPr>
        <w:spacing w:before="14"/>
        <w:ind w:left="404" w:right="0" w:firstLine="0"/>
        <w:jc w:val="left"/>
        <w:rPr>
          <w:sz w:val="18"/>
        </w:rPr>
      </w:pPr>
      <w:r>
        <w:rPr>
          <w:color w:val="FFFFFF"/>
          <w:w w:val="105"/>
          <w:sz w:val="18"/>
        </w:rPr>
        <w:t>2016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w w:val="105"/>
          <w:sz w:val="18"/>
        </w:rPr>
        <w:t>-</w:t>
      </w:r>
      <w:r>
        <w:rPr>
          <w:color w:val="FFFFFF"/>
          <w:spacing w:val="-8"/>
          <w:w w:val="105"/>
          <w:sz w:val="18"/>
        </w:rPr>
        <w:t> </w:t>
      </w:r>
      <w:r>
        <w:rPr>
          <w:color w:val="FFFFFF"/>
          <w:spacing w:val="-4"/>
          <w:w w:val="105"/>
          <w:sz w:val="18"/>
        </w:rPr>
        <w:t>2020</w:t>
      </w:r>
    </w:p>
    <w:p>
      <w:pPr>
        <w:spacing w:before="18"/>
        <w:ind w:left="404" w:right="0" w:firstLine="0"/>
        <w:jc w:val="left"/>
        <w:rPr>
          <w:sz w:val="18"/>
        </w:rPr>
      </w:pPr>
      <w:r>
        <w:rPr>
          <w:color w:val="FFFFFF"/>
          <w:sz w:val="18"/>
        </w:rPr>
        <w:t>BS</w:t>
      </w:r>
      <w:r>
        <w:rPr>
          <w:color w:val="FFFFFF"/>
          <w:spacing w:val="13"/>
          <w:sz w:val="18"/>
        </w:rPr>
        <w:t> </w:t>
      </w:r>
      <w:r>
        <w:rPr>
          <w:color w:val="FFFFFF"/>
          <w:sz w:val="18"/>
        </w:rPr>
        <w:t>Construction</w:t>
      </w:r>
      <w:r>
        <w:rPr>
          <w:color w:val="FFFFFF"/>
          <w:spacing w:val="14"/>
          <w:sz w:val="18"/>
        </w:rPr>
        <w:t> </w:t>
      </w:r>
      <w:r>
        <w:rPr>
          <w:color w:val="FFFFFF"/>
          <w:spacing w:val="-2"/>
          <w:sz w:val="18"/>
        </w:rPr>
        <w:t>Management</w:t>
      </w:r>
    </w:p>
    <w:p>
      <w:pPr>
        <w:pStyle w:val="BodyText"/>
        <w:spacing w:before="55"/>
        <w:rPr>
          <w:sz w:val="18"/>
        </w:rPr>
      </w:pPr>
    </w:p>
    <w:p>
      <w:pPr>
        <w:pStyle w:val="Heading2"/>
      </w:pPr>
      <w:r>
        <w:rPr>
          <w:color w:val="FFFFFF"/>
        </w:rPr>
        <w:t>Key</w:t>
      </w:r>
      <w:r>
        <w:rPr>
          <w:color w:val="FFFFFF"/>
          <w:spacing w:val="-2"/>
        </w:rPr>
        <w:t> Skills</w:t>
      </w:r>
    </w:p>
    <w:p>
      <w:pPr>
        <w:spacing w:before="185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Procore</w:t>
      </w:r>
    </w:p>
    <w:p>
      <w:pPr>
        <w:spacing w:line="381" w:lineRule="auto" w:before="12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OPC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Estimating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Software </w:t>
      </w:r>
      <w:r>
        <w:rPr>
          <w:color w:val="FFFFFF"/>
          <w:w w:val="105"/>
          <w:sz w:val="18"/>
        </w:rPr>
        <w:t>Microsoft Excel</w:t>
      </w:r>
    </w:p>
    <w:p>
      <w:pPr>
        <w:spacing w:line="194" w:lineRule="exact" w:before="0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Blueprint</w:t>
      </w:r>
      <w:r>
        <w:rPr>
          <w:color w:val="FFFFFF"/>
          <w:spacing w:val="14"/>
          <w:sz w:val="18"/>
        </w:rPr>
        <w:t> </w:t>
      </w:r>
      <w:r>
        <w:rPr>
          <w:color w:val="FFFFFF"/>
          <w:sz w:val="18"/>
        </w:rPr>
        <w:t>Reading</w:t>
      </w:r>
      <w:r>
        <w:rPr>
          <w:color w:val="FFFFFF"/>
          <w:spacing w:val="15"/>
          <w:sz w:val="18"/>
        </w:rPr>
        <w:t> </w:t>
      </w:r>
      <w:r>
        <w:rPr>
          <w:color w:val="FFFFFF"/>
          <w:spacing w:val="-5"/>
          <w:sz w:val="18"/>
        </w:rPr>
        <w:t>and</w:t>
      </w:r>
    </w:p>
    <w:p>
      <w:pPr>
        <w:spacing w:before="3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Interpretation</w:t>
      </w:r>
    </w:p>
    <w:p>
      <w:pPr>
        <w:spacing w:line="261" w:lineRule="auto" w:before="123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Cost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Estimating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Bid Preparation</w:t>
      </w:r>
    </w:p>
    <w:p>
      <w:pPr>
        <w:spacing w:line="381" w:lineRule="auto" w:before="104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Subcontractor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Scheduling </w:t>
      </w:r>
      <w:r>
        <w:rPr>
          <w:color w:val="FFFFFF"/>
          <w:sz w:val="18"/>
        </w:rPr>
        <w:t>OSHA</w:t>
      </w:r>
      <w:r>
        <w:rPr>
          <w:color w:val="FFFFFF"/>
          <w:spacing w:val="1"/>
          <w:sz w:val="18"/>
        </w:rPr>
        <w:t> </w:t>
      </w:r>
      <w:r>
        <w:rPr>
          <w:color w:val="FFFFFF"/>
          <w:sz w:val="18"/>
        </w:rPr>
        <w:t>Safety</w:t>
      </w:r>
      <w:r>
        <w:rPr>
          <w:color w:val="FFFFFF"/>
          <w:spacing w:val="13"/>
          <w:sz w:val="18"/>
        </w:rPr>
        <w:t> </w:t>
      </w:r>
      <w:r>
        <w:rPr>
          <w:color w:val="FFFFFF"/>
          <w:spacing w:val="-2"/>
          <w:sz w:val="18"/>
        </w:rPr>
        <w:t>Compliance</w:t>
      </w:r>
    </w:p>
    <w:p>
      <w:pPr>
        <w:spacing w:before="2"/>
        <w:ind w:left="702" w:right="0" w:firstLine="0"/>
        <w:jc w:val="left"/>
        <w:rPr>
          <w:sz w:val="18"/>
        </w:rPr>
      </w:pPr>
      <w:r>
        <w:rPr>
          <w:color w:val="FFFFFF"/>
          <w:sz w:val="18"/>
        </w:rPr>
        <w:t>EPA</w:t>
      </w:r>
      <w:r>
        <w:rPr>
          <w:color w:val="FFFFFF"/>
          <w:spacing w:val="-4"/>
          <w:sz w:val="18"/>
        </w:rPr>
        <w:t> </w:t>
      </w:r>
      <w:r>
        <w:rPr>
          <w:color w:val="FFFFFF"/>
          <w:sz w:val="18"/>
        </w:rPr>
        <w:t>Lead-Safe</w:t>
      </w:r>
      <w:r>
        <w:rPr>
          <w:color w:val="FFFFFF"/>
          <w:spacing w:val="8"/>
          <w:sz w:val="18"/>
        </w:rPr>
        <w:t> </w:t>
      </w:r>
      <w:r>
        <w:rPr>
          <w:color w:val="FFFFFF"/>
          <w:sz w:val="18"/>
        </w:rPr>
        <w:t>Work</w:t>
      </w:r>
      <w:r>
        <w:rPr>
          <w:color w:val="FFFFFF"/>
          <w:spacing w:val="8"/>
          <w:sz w:val="18"/>
        </w:rPr>
        <w:t> </w:t>
      </w:r>
      <w:r>
        <w:rPr>
          <w:color w:val="FFFFFF"/>
          <w:spacing w:val="-2"/>
          <w:sz w:val="18"/>
        </w:rPr>
        <w:t>Practices</w:t>
      </w:r>
    </w:p>
    <w:p>
      <w:pPr>
        <w:spacing w:line="278" w:lineRule="auto" w:before="108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Residential</w:t>
      </w:r>
      <w:r>
        <w:rPr>
          <w:color w:val="FFFFFF"/>
          <w:spacing w:val="-12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11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Commercial Framing</w:t>
      </w:r>
    </w:p>
    <w:p>
      <w:pPr>
        <w:spacing w:line="261" w:lineRule="auto" w:before="90"/>
        <w:ind w:left="702" w:right="0" w:firstLine="0"/>
        <w:jc w:val="left"/>
        <w:rPr>
          <w:sz w:val="18"/>
        </w:rPr>
      </w:pPr>
      <w:r>
        <w:rPr>
          <w:color w:val="FFFFFF"/>
          <w:spacing w:val="-2"/>
          <w:w w:val="105"/>
          <w:sz w:val="18"/>
        </w:rPr>
        <w:t>Quality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Control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and</w:t>
      </w:r>
      <w:r>
        <w:rPr>
          <w:color w:val="FFFFFF"/>
          <w:spacing w:val="-9"/>
          <w:w w:val="105"/>
          <w:sz w:val="18"/>
        </w:rPr>
        <w:t> </w:t>
      </w:r>
      <w:r>
        <w:rPr>
          <w:color w:val="FFFFFF"/>
          <w:spacing w:val="-2"/>
          <w:w w:val="105"/>
          <w:sz w:val="18"/>
        </w:rPr>
        <w:t>Inspection Coordination</w:t>
      </w:r>
    </w:p>
    <w:p>
      <w:pPr>
        <w:pStyle w:val="BodyText"/>
        <w:spacing w:before="7" w:after="24"/>
        <w:rPr>
          <w:sz w:val="8"/>
        </w:rPr>
      </w:pPr>
      <w:r>
        <w:rPr/>
        <w:br w:type="column"/>
      </w:r>
      <w:r>
        <w:rPr>
          <w:sz w:val="8"/>
        </w:rPr>
      </w:r>
    </w:p>
    <w:p>
      <w:pPr>
        <w:spacing w:line="20" w:lineRule="exact"/>
        <w:ind w:left="102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4619625" cy="9525"/>
                <wp:effectExtent l="0" t="0" r="0" b="0"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4619625" cy="9525"/>
                          <a:chExt cx="4619625" cy="95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46196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19625" h="9525">
                                <a:moveTo>
                                  <a:pt x="46196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619624" y="0"/>
                                </a:lnTo>
                                <a:lnTo>
                                  <a:pt x="46196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4391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63.75pt;height:.75pt;mso-position-horizontal-relative:char;mso-position-vertical-relative:line" id="docshapegroup1" coordorigin="0,0" coordsize="7275,15">
                <v:rect style="position:absolute;left:0;top:0;width:7275;height:15" id="docshape2" filled="true" fillcolor="#000000" stroked="false">
                  <v:fill opacity="28783f"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pStyle w:val="BodyText"/>
        <w:spacing w:before="18"/>
        <w:rPr>
          <w:sz w:val="24"/>
        </w:rPr>
      </w:pPr>
    </w:p>
    <w:p>
      <w:pPr>
        <w:pStyle w:val="Heading2"/>
        <w:spacing w:before="1"/>
      </w:pPr>
      <w:r>
        <w:rPr>
          <w:color w:val="4D09A2"/>
        </w:rPr>
        <w:t>Professional</w:t>
      </w:r>
      <w:r>
        <w:rPr>
          <w:color w:val="4D09A2"/>
          <w:spacing w:val="-11"/>
        </w:rPr>
        <w:t> </w:t>
      </w:r>
      <w:r>
        <w:rPr>
          <w:color w:val="4D09A2"/>
          <w:spacing w:val="-2"/>
        </w:rPr>
        <w:t>Experience</w:t>
      </w:r>
    </w:p>
    <w:p>
      <w:pPr>
        <w:pStyle w:val="BodyText"/>
        <w:spacing w:before="189"/>
        <w:ind w:left="311"/>
      </w:pPr>
      <w:r>
        <w:rPr>
          <w:spacing w:val="-2"/>
          <w:w w:val="105"/>
        </w:rPr>
        <w:t>General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Contractor,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Wind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River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Summit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Builders, Thermopolis,</w:t>
      </w:r>
      <w:r>
        <w:rPr>
          <w:spacing w:val="1"/>
          <w:w w:val="105"/>
        </w:rPr>
        <w:t> </w:t>
      </w:r>
      <w:r>
        <w:rPr>
          <w:spacing w:val="-7"/>
          <w:w w:val="105"/>
        </w:rPr>
        <w:t>WY</w:t>
      </w:r>
    </w:p>
    <w:p>
      <w:pPr>
        <w:pStyle w:val="BodyText"/>
        <w:spacing w:before="41"/>
        <w:ind w:left="311"/>
      </w:pPr>
      <w:r>
        <w:rPr>
          <w:w w:val="105"/>
        </w:rPr>
        <w:t>2023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2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541" w:hanging="291"/>
        <w:jc w:val="both"/>
        <w:rPr>
          <w:sz w:val="16"/>
        </w:rPr>
      </w:pPr>
      <w:r>
        <w:rPr>
          <w:w w:val="105"/>
          <w:sz w:val="16"/>
        </w:rPr>
        <w:t>Managed 5 concurrent projects spanning custom homes and commercial tenant improvements, coordinating subcontractor sequencing and inspection timelines across all active sites.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0" w:after="0"/>
        <w:ind w:left="888" w:right="110" w:hanging="291"/>
        <w:jc w:val="left"/>
        <w:rPr>
          <w:sz w:val="16"/>
        </w:rPr>
      </w:pPr>
      <w:r>
        <w:rPr>
          <w:w w:val="105"/>
          <w:sz w:val="16"/>
        </w:rPr>
        <w:t>Held estimate accuracy variance to 3.2% across builds averaging $847,200 by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reﬁning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quantity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takeoffs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labor-hour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projections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OPC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estimating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software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before bid submission.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151" w:hanging="291"/>
        <w:jc w:val="left"/>
        <w:rPr>
          <w:sz w:val="16"/>
        </w:rPr>
      </w:pPr>
      <w:r>
        <w:rPr>
          <w:w w:val="105"/>
          <w:sz w:val="16"/>
        </w:rPr>
        <w:t>Reduced recordable safety incidents from 7 to 4 across all jobsites in 2024 by introducing weekly toolbox talks and enforcing PPE compliance per OSHA standards.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6" w:after="0"/>
        <w:ind w:left="888" w:right="213" w:hanging="291"/>
        <w:jc w:val="left"/>
        <w:rPr>
          <w:sz w:val="16"/>
        </w:rPr>
      </w:pPr>
      <w:r>
        <w:rPr>
          <w:w w:val="105"/>
          <w:sz w:val="16"/>
        </w:rPr>
        <w:t>Scheduled and tracked material deliveries, subcontractor milestones, and change orders in Procore for every active build, keeping punch-list items to 3 or fewer at ﬁnal </w:t>
      </w:r>
      <w:r>
        <w:rPr>
          <w:spacing w:val="-2"/>
          <w:w w:val="105"/>
          <w:sz w:val="16"/>
        </w:rPr>
        <w:t>walkthrough.</w:t>
      </w:r>
    </w:p>
    <w:p>
      <w:pPr>
        <w:pStyle w:val="BodyText"/>
        <w:spacing w:before="86"/>
      </w:pPr>
    </w:p>
    <w:p>
      <w:pPr>
        <w:pStyle w:val="BodyText"/>
        <w:spacing w:before="1"/>
        <w:ind w:left="311"/>
      </w:pPr>
      <w:r>
        <w:rPr>
          <w:spacing w:val="-2"/>
          <w:w w:val="105"/>
        </w:rPr>
        <w:t>General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Contractor,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Bighorn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Basin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Construction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Co.,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Worland,</w:t>
      </w:r>
      <w:r>
        <w:rPr>
          <w:spacing w:val="1"/>
          <w:w w:val="105"/>
        </w:rPr>
        <w:t> </w:t>
      </w:r>
      <w:r>
        <w:rPr>
          <w:spacing w:val="-7"/>
          <w:w w:val="105"/>
        </w:rPr>
        <w:t>WY</w:t>
      </w:r>
    </w:p>
    <w:p>
      <w:pPr>
        <w:pStyle w:val="BodyText"/>
        <w:spacing w:before="56"/>
        <w:ind w:left="311"/>
      </w:pPr>
      <w:r>
        <w:rPr>
          <w:w w:val="105"/>
        </w:rPr>
        <w:t>2021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2023</w:t>
      </w:r>
    </w:p>
    <w:p>
      <w:pPr>
        <w:pStyle w:val="BodyText"/>
        <w:spacing w:before="36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40" w:lineRule="auto" w:before="1" w:after="0"/>
        <w:ind w:left="888" w:right="0" w:hanging="291"/>
        <w:jc w:val="left"/>
        <w:rPr>
          <w:sz w:val="16"/>
        </w:rPr>
      </w:pPr>
      <w:r>
        <w:rPr>
          <w:w w:val="105"/>
          <w:sz w:val="16"/>
        </w:rPr>
        <w:t>Oversaw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concurrent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residential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builds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at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time,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each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ranging</w:t>
      </w:r>
      <w:r>
        <w:rPr>
          <w:spacing w:val="-3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-4"/>
          <w:w w:val="105"/>
          <w:sz w:val="16"/>
        </w:rPr>
        <w:t> </w:t>
      </w:r>
      <w:r>
        <w:rPr>
          <w:w w:val="105"/>
          <w:sz w:val="16"/>
        </w:rPr>
        <w:t>$326,400</w:t>
      </w:r>
      <w:r>
        <w:rPr>
          <w:spacing w:val="-3"/>
          <w:w w:val="105"/>
          <w:sz w:val="16"/>
        </w:rPr>
        <w:t> </w:t>
      </w:r>
      <w:r>
        <w:rPr>
          <w:spacing w:val="-5"/>
          <w:w w:val="105"/>
          <w:sz w:val="16"/>
        </w:rPr>
        <w:t>to</w:t>
      </w:r>
    </w:p>
    <w:p>
      <w:pPr>
        <w:pStyle w:val="BodyText"/>
        <w:spacing w:before="26"/>
        <w:ind w:left="888"/>
      </w:pPr>
      <w:r>
        <w:rPr>
          <w:w w:val="105"/>
        </w:rPr>
        <w:t>$1.16M,</w:t>
      </w:r>
      <w:r>
        <w:rPr>
          <w:spacing w:val="-4"/>
          <w:w w:val="105"/>
        </w:rPr>
        <w:t> </w:t>
      </w:r>
      <w:r>
        <w:rPr>
          <w:w w:val="105"/>
        </w:rPr>
        <w:t>while</w:t>
      </w:r>
      <w:r>
        <w:rPr>
          <w:spacing w:val="-4"/>
          <w:w w:val="105"/>
        </w:rPr>
        <w:t> </w:t>
      </w:r>
      <w:r>
        <w:rPr>
          <w:w w:val="105"/>
        </w:rPr>
        <w:t>self-performing</w:t>
      </w:r>
      <w:r>
        <w:rPr>
          <w:spacing w:val="-3"/>
          <w:w w:val="105"/>
        </w:rPr>
        <w:t> </w:t>
      </w:r>
      <w:r>
        <w:rPr>
          <w:w w:val="105"/>
        </w:rPr>
        <w:t>framing</w:t>
      </w:r>
      <w:r>
        <w:rPr>
          <w:spacing w:val="-4"/>
          <w:w w:val="105"/>
        </w:rPr>
        <w:t> </w:t>
      </w:r>
      <w:r>
        <w:rPr>
          <w:w w:val="105"/>
        </w:rPr>
        <w:t>and</w:t>
      </w:r>
      <w:r>
        <w:rPr>
          <w:spacing w:val="-3"/>
          <w:w w:val="105"/>
        </w:rPr>
        <w:t> </w:t>
      </w:r>
      <w:r>
        <w:rPr>
          <w:w w:val="105"/>
        </w:rPr>
        <w:t>ﬁnish</w:t>
      </w:r>
      <w:r>
        <w:rPr>
          <w:spacing w:val="-4"/>
          <w:w w:val="105"/>
        </w:rPr>
        <w:t> </w:t>
      </w:r>
      <w:r>
        <w:rPr>
          <w:w w:val="105"/>
        </w:rPr>
        <w:t>carpentry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3"/>
          <w:w w:val="105"/>
        </w:rPr>
        <w:t> </w:t>
      </w:r>
      <w:r>
        <w:rPr>
          <w:w w:val="105"/>
        </w:rPr>
        <w:t>smaller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scopes.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16" w:after="0"/>
        <w:ind w:left="888" w:right="473" w:hanging="291"/>
        <w:jc w:val="left"/>
        <w:rPr>
          <w:sz w:val="16"/>
        </w:rPr>
      </w:pPr>
      <w:r>
        <w:rPr>
          <w:w w:val="105"/>
          <w:sz w:val="16"/>
        </w:rPr>
        <w:t>Brought estimate variance down from 7.1% to 3.7% by cross-referencing supplier quotes and historical material costs before ﬁnalizing bids.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504" w:hanging="291"/>
        <w:jc w:val="left"/>
        <w:rPr>
          <w:sz w:val="16"/>
        </w:rPr>
      </w:pPr>
      <w:r>
        <w:rPr>
          <w:w w:val="105"/>
          <w:sz w:val="16"/>
        </w:rPr>
        <w:t>Cut jobsite safety incidents by 33.1% over 18 months after implementing a daily hazard-checklist protocol and monthly site audits aligned with OSHA regulations.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70" w:hanging="291"/>
        <w:jc w:val="left"/>
        <w:rPr>
          <w:sz w:val="16"/>
        </w:rPr>
      </w:pPr>
      <w:r>
        <w:rPr>
          <w:w w:val="105"/>
          <w:sz w:val="16"/>
        </w:rPr>
        <w:t>Prepared cost estimates and scope documents in Microsoft Excel, presenting line-item breakdowns to clients within 48 hours of initial site visits.</w:t>
      </w:r>
    </w:p>
    <w:p>
      <w:pPr>
        <w:pStyle w:val="BodyText"/>
        <w:spacing w:before="86"/>
      </w:pPr>
    </w:p>
    <w:p>
      <w:pPr>
        <w:pStyle w:val="BodyText"/>
        <w:ind w:left="311"/>
      </w:pPr>
      <w:r>
        <w:rPr>
          <w:spacing w:val="-2"/>
          <w:w w:val="105"/>
        </w:rPr>
        <w:t>Assistant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Project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Contractor,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Owl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Creek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Constructors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LLC,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Riverton,</w:t>
      </w:r>
      <w:r>
        <w:rPr>
          <w:spacing w:val="1"/>
          <w:w w:val="105"/>
        </w:rPr>
        <w:t> </w:t>
      </w:r>
      <w:r>
        <w:rPr>
          <w:spacing w:val="-5"/>
          <w:w w:val="105"/>
        </w:rPr>
        <w:t>WY</w:t>
      </w:r>
    </w:p>
    <w:p>
      <w:pPr>
        <w:pStyle w:val="BodyText"/>
        <w:spacing w:before="56"/>
        <w:ind w:left="311"/>
      </w:pPr>
      <w:r>
        <w:rPr>
          <w:w w:val="105"/>
        </w:rPr>
        <w:t>2020</w:t>
      </w:r>
      <w:r>
        <w:rPr>
          <w:spacing w:val="-4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2021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0" w:after="0"/>
        <w:ind w:left="888" w:right="128" w:hanging="291"/>
        <w:jc w:val="left"/>
        <w:rPr>
          <w:sz w:val="16"/>
        </w:rPr>
      </w:pPr>
      <w:r>
        <w:rPr>
          <w:w w:val="105"/>
          <w:sz w:val="16"/>
        </w:rPr>
        <w:t>Supported the lead contractor on 2 concurrent residential projects valued at $438,600 combined, handling daily progress logs and subcontractor scheduling.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91" w:after="0"/>
        <w:ind w:left="888" w:right="498" w:hanging="291"/>
        <w:jc w:val="left"/>
        <w:rPr>
          <w:sz w:val="16"/>
        </w:rPr>
      </w:pPr>
      <w:r>
        <w:rPr>
          <w:w w:val="105"/>
          <w:sz w:val="16"/>
        </w:rPr>
        <w:t>Veriﬁed material quantities against blueprints before each phase, keeping waste-related cost overruns under $2,130 per project.</w:t>
      </w:r>
    </w:p>
    <w:p>
      <w:pPr>
        <w:pStyle w:val="ListParagraph"/>
        <w:numPr>
          <w:ilvl w:val="0"/>
          <w:numId w:val="1"/>
        </w:numPr>
        <w:tabs>
          <w:tab w:pos="888" w:val="left" w:leader="none"/>
        </w:tabs>
        <w:spacing w:line="273" w:lineRule="auto" w:before="105" w:after="0"/>
        <w:ind w:left="888" w:right="418" w:hanging="291"/>
        <w:jc w:val="left"/>
        <w:rPr>
          <w:sz w:val="16"/>
        </w:rPr>
      </w:pPr>
      <w:r>
        <w:rPr>
          <w:w w:val="105"/>
          <w:sz w:val="16"/>
        </w:rPr>
        <w:t>Conducted site-speciﬁc hazard assessments before each construction phase and enforced fall-protection setups, contributing to zero recordable incidents over 11 </w:t>
      </w:r>
      <w:r>
        <w:rPr>
          <w:spacing w:val="-2"/>
          <w:w w:val="105"/>
          <w:sz w:val="16"/>
        </w:rPr>
        <w:t>months.</w:t>
      </w:r>
    </w:p>
    <w:p>
      <w:pPr>
        <w:pStyle w:val="ListParagraph"/>
        <w:spacing w:after="0" w:line="273" w:lineRule="auto"/>
        <w:jc w:val="left"/>
        <w:rPr>
          <w:sz w:val="16"/>
        </w:rPr>
        <w:sectPr>
          <w:type w:val="continuous"/>
          <w:pgSz w:w="11920" w:h="16860"/>
          <w:pgMar w:top="0" w:bottom="0" w:left="283" w:right="141"/>
          <w:cols w:num="2" w:equalWidth="0">
            <w:col w:w="3298" w:space="757"/>
            <w:col w:w="7441"/>
          </w:cols>
        </w:sectPr>
      </w:pPr>
    </w:p>
    <w:p>
      <w:pPr>
        <w:pStyle w:val="BodyText"/>
        <w:spacing w:before="70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1" simplePos="0" relativeHeight="48752025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81275" cy="10706100"/>
                          <a:chExt cx="2581275" cy="107061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8127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10706100">
                                <a:moveTo>
                                  <a:pt x="2581274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581274" y="0"/>
                                </a:lnTo>
                                <a:lnTo>
                                  <a:pt x="2581274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C7CC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571750" cy="2495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1750" h="2495550">
                                <a:moveTo>
                                  <a:pt x="0" y="2495549"/>
                                </a:moveTo>
                                <a:lnTo>
                                  <a:pt x="0" y="0"/>
                                </a:lnTo>
                                <a:lnTo>
                                  <a:pt x="2571749" y="0"/>
                                </a:lnTo>
                                <a:lnTo>
                                  <a:pt x="0" y="24955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1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1025" y="552450"/>
                            <a:ext cx="1406270" cy="140017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6749" y="581025"/>
                            <a:ext cx="1238249" cy="12477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438137" y="3086099"/>
                            <a:ext cx="1076325" cy="50387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76325" h="5038725">
                                <a:moveTo>
                                  <a:pt x="47625" y="5011572"/>
                                </a:moveTo>
                                <a:lnTo>
                                  <a:pt x="27165" y="4991100"/>
                                </a:lnTo>
                                <a:lnTo>
                                  <a:pt x="20472" y="4991100"/>
                                </a:lnTo>
                                <a:lnTo>
                                  <a:pt x="0" y="5011572"/>
                                </a:lnTo>
                                <a:lnTo>
                                  <a:pt x="0" y="5015141"/>
                                </a:lnTo>
                                <a:lnTo>
                                  <a:pt x="0" y="5018265"/>
                                </a:lnTo>
                                <a:lnTo>
                                  <a:pt x="20472" y="5038725"/>
                                </a:lnTo>
                                <a:lnTo>
                                  <a:pt x="27165" y="5038725"/>
                                </a:lnTo>
                                <a:lnTo>
                                  <a:pt x="47625" y="5018265"/>
                                </a:lnTo>
                                <a:lnTo>
                                  <a:pt x="47625" y="5011572"/>
                                </a:lnTo>
                                <a:close/>
                              </a:path>
                              <a:path w="1076325" h="5038725">
                                <a:moveTo>
                                  <a:pt x="47625" y="4649622"/>
                                </a:moveTo>
                                <a:lnTo>
                                  <a:pt x="27165" y="4629150"/>
                                </a:lnTo>
                                <a:lnTo>
                                  <a:pt x="20472" y="4629150"/>
                                </a:lnTo>
                                <a:lnTo>
                                  <a:pt x="0" y="4649622"/>
                                </a:lnTo>
                                <a:lnTo>
                                  <a:pt x="0" y="4653191"/>
                                </a:lnTo>
                                <a:lnTo>
                                  <a:pt x="0" y="4656315"/>
                                </a:lnTo>
                                <a:lnTo>
                                  <a:pt x="20472" y="4676775"/>
                                </a:lnTo>
                                <a:lnTo>
                                  <a:pt x="27165" y="4676775"/>
                                </a:lnTo>
                                <a:lnTo>
                                  <a:pt x="47625" y="4656315"/>
                                </a:lnTo>
                                <a:lnTo>
                                  <a:pt x="47625" y="4649622"/>
                                </a:lnTo>
                                <a:close/>
                              </a:path>
                              <a:path w="1076325" h="5038725">
                                <a:moveTo>
                                  <a:pt x="47625" y="4445660"/>
                                </a:moveTo>
                                <a:lnTo>
                                  <a:pt x="31102" y="4429125"/>
                                </a:lnTo>
                                <a:lnTo>
                                  <a:pt x="16535" y="4429125"/>
                                </a:lnTo>
                                <a:lnTo>
                                  <a:pt x="0" y="4445660"/>
                                </a:lnTo>
                                <a:lnTo>
                                  <a:pt x="0" y="4448175"/>
                                </a:lnTo>
                                <a:lnTo>
                                  <a:pt x="0" y="4450702"/>
                                </a:lnTo>
                                <a:lnTo>
                                  <a:pt x="16535" y="4467225"/>
                                </a:lnTo>
                                <a:lnTo>
                                  <a:pt x="31102" y="4467225"/>
                                </a:lnTo>
                                <a:lnTo>
                                  <a:pt x="47625" y="4450702"/>
                                </a:lnTo>
                                <a:lnTo>
                                  <a:pt x="47625" y="4445660"/>
                                </a:lnTo>
                                <a:close/>
                              </a:path>
                              <a:path w="1076325" h="5038725">
                                <a:moveTo>
                                  <a:pt x="47625" y="4240047"/>
                                </a:moveTo>
                                <a:lnTo>
                                  <a:pt x="27165" y="4219575"/>
                                </a:lnTo>
                                <a:lnTo>
                                  <a:pt x="20472" y="4219575"/>
                                </a:lnTo>
                                <a:lnTo>
                                  <a:pt x="0" y="4240047"/>
                                </a:lnTo>
                                <a:lnTo>
                                  <a:pt x="0" y="4243616"/>
                                </a:lnTo>
                                <a:lnTo>
                                  <a:pt x="0" y="4246740"/>
                                </a:lnTo>
                                <a:lnTo>
                                  <a:pt x="20472" y="4267200"/>
                                </a:lnTo>
                                <a:lnTo>
                                  <a:pt x="27165" y="4267200"/>
                                </a:lnTo>
                                <a:lnTo>
                                  <a:pt x="47625" y="4246740"/>
                                </a:lnTo>
                                <a:lnTo>
                                  <a:pt x="47625" y="4240047"/>
                                </a:lnTo>
                                <a:close/>
                              </a:path>
                              <a:path w="1076325" h="5038725">
                                <a:moveTo>
                                  <a:pt x="47625" y="4030497"/>
                                </a:moveTo>
                                <a:lnTo>
                                  <a:pt x="27165" y="4010025"/>
                                </a:lnTo>
                                <a:lnTo>
                                  <a:pt x="20472" y="4010025"/>
                                </a:lnTo>
                                <a:lnTo>
                                  <a:pt x="0" y="4030497"/>
                                </a:lnTo>
                                <a:lnTo>
                                  <a:pt x="0" y="4034066"/>
                                </a:lnTo>
                                <a:lnTo>
                                  <a:pt x="0" y="4037190"/>
                                </a:lnTo>
                                <a:lnTo>
                                  <a:pt x="20472" y="4057650"/>
                                </a:lnTo>
                                <a:lnTo>
                                  <a:pt x="27165" y="4057650"/>
                                </a:lnTo>
                                <a:lnTo>
                                  <a:pt x="47625" y="4037190"/>
                                </a:lnTo>
                                <a:lnTo>
                                  <a:pt x="47625" y="4030497"/>
                                </a:lnTo>
                                <a:close/>
                              </a:path>
                              <a:path w="1076325" h="5038725">
                                <a:moveTo>
                                  <a:pt x="47625" y="3678072"/>
                                </a:moveTo>
                                <a:lnTo>
                                  <a:pt x="27165" y="3657600"/>
                                </a:lnTo>
                                <a:lnTo>
                                  <a:pt x="20472" y="3657600"/>
                                </a:lnTo>
                                <a:lnTo>
                                  <a:pt x="0" y="3678072"/>
                                </a:lnTo>
                                <a:lnTo>
                                  <a:pt x="0" y="3681641"/>
                                </a:lnTo>
                                <a:lnTo>
                                  <a:pt x="0" y="3684765"/>
                                </a:lnTo>
                                <a:lnTo>
                                  <a:pt x="20472" y="3705225"/>
                                </a:lnTo>
                                <a:lnTo>
                                  <a:pt x="27165" y="3705225"/>
                                </a:lnTo>
                                <a:lnTo>
                                  <a:pt x="47625" y="3684765"/>
                                </a:lnTo>
                                <a:lnTo>
                                  <a:pt x="47625" y="3678072"/>
                                </a:lnTo>
                                <a:close/>
                              </a:path>
                              <a:path w="1076325" h="5038725">
                                <a:moveTo>
                                  <a:pt x="47625" y="3316122"/>
                                </a:moveTo>
                                <a:lnTo>
                                  <a:pt x="27165" y="3295650"/>
                                </a:lnTo>
                                <a:lnTo>
                                  <a:pt x="20472" y="3295650"/>
                                </a:lnTo>
                                <a:lnTo>
                                  <a:pt x="0" y="3316122"/>
                                </a:lnTo>
                                <a:lnTo>
                                  <a:pt x="0" y="3319691"/>
                                </a:lnTo>
                                <a:lnTo>
                                  <a:pt x="0" y="3322815"/>
                                </a:lnTo>
                                <a:lnTo>
                                  <a:pt x="20472" y="3343275"/>
                                </a:lnTo>
                                <a:lnTo>
                                  <a:pt x="27165" y="3343275"/>
                                </a:lnTo>
                                <a:lnTo>
                                  <a:pt x="47625" y="3322815"/>
                                </a:lnTo>
                                <a:lnTo>
                                  <a:pt x="47625" y="3316122"/>
                                </a:lnTo>
                                <a:close/>
                              </a:path>
                              <a:path w="1076325" h="5038725">
                                <a:moveTo>
                                  <a:pt x="47625" y="3116097"/>
                                </a:moveTo>
                                <a:lnTo>
                                  <a:pt x="27165" y="3095625"/>
                                </a:lnTo>
                                <a:lnTo>
                                  <a:pt x="20472" y="3095625"/>
                                </a:lnTo>
                                <a:lnTo>
                                  <a:pt x="0" y="3116097"/>
                                </a:lnTo>
                                <a:lnTo>
                                  <a:pt x="0" y="3119666"/>
                                </a:lnTo>
                                <a:lnTo>
                                  <a:pt x="0" y="3122790"/>
                                </a:lnTo>
                                <a:lnTo>
                                  <a:pt x="20472" y="3143250"/>
                                </a:lnTo>
                                <a:lnTo>
                                  <a:pt x="27165" y="3143250"/>
                                </a:lnTo>
                                <a:lnTo>
                                  <a:pt x="47625" y="3122790"/>
                                </a:lnTo>
                                <a:lnTo>
                                  <a:pt x="47625" y="3116097"/>
                                </a:lnTo>
                                <a:close/>
                              </a:path>
                              <a:path w="1076325" h="5038725">
                                <a:moveTo>
                                  <a:pt x="47625" y="2906547"/>
                                </a:moveTo>
                                <a:lnTo>
                                  <a:pt x="27165" y="2886075"/>
                                </a:lnTo>
                                <a:lnTo>
                                  <a:pt x="20472" y="2886075"/>
                                </a:lnTo>
                                <a:lnTo>
                                  <a:pt x="0" y="2906547"/>
                                </a:lnTo>
                                <a:lnTo>
                                  <a:pt x="0" y="2910116"/>
                                </a:lnTo>
                                <a:lnTo>
                                  <a:pt x="0" y="2913240"/>
                                </a:lnTo>
                                <a:lnTo>
                                  <a:pt x="20472" y="2933700"/>
                                </a:lnTo>
                                <a:lnTo>
                                  <a:pt x="27165" y="2933700"/>
                                </a:lnTo>
                                <a:lnTo>
                                  <a:pt x="47625" y="2913240"/>
                                </a:lnTo>
                                <a:lnTo>
                                  <a:pt x="47625" y="2906547"/>
                                </a:lnTo>
                                <a:close/>
                              </a:path>
                              <a:path w="1076325" h="5038725">
                                <a:moveTo>
                                  <a:pt x="47625" y="2696997"/>
                                </a:moveTo>
                                <a:lnTo>
                                  <a:pt x="27165" y="2676525"/>
                                </a:lnTo>
                                <a:lnTo>
                                  <a:pt x="20472" y="2676525"/>
                                </a:lnTo>
                                <a:lnTo>
                                  <a:pt x="0" y="2696997"/>
                                </a:lnTo>
                                <a:lnTo>
                                  <a:pt x="0" y="2700566"/>
                                </a:lnTo>
                                <a:lnTo>
                                  <a:pt x="0" y="2703690"/>
                                </a:lnTo>
                                <a:lnTo>
                                  <a:pt x="20472" y="2724150"/>
                                </a:lnTo>
                                <a:lnTo>
                                  <a:pt x="27165" y="2724150"/>
                                </a:lnTo>
                                <a:lnTo>
                                  <a:pt x="47625" y="2703690"/>
                                </a:lnTo>
                                <a:lnTo>
                                  <a:pt x="47625" y="2696997"/>
                                </a:lnTo>
                                <a:close/>
                              </a:path>
                              <a:path w="1076325" h="5038725">
                                <a:moveTo>
                                  <a:pt x="1076325" y="590550"/>
                                </a:moveTo>
                                <a:lnTo>
                                  <a:pt x="0" y="590550"/>
                                </a:lnTo>
                                <a:lnTo>
                                  <a:pt x="0" y="600075"/>
                                </a:lnTo>
                                <a:lnTo>
                                  <a:pt x="1076325" y="600075"/>
                                </a:lnTo>
                                <a:lnTo>
                                  <a:pt x="1076325" y="590550"/>
                                </a:lnTo>
                                <a:close/>
                              </a:path>
                              <a:path w="1076325" h="5038725">
                                <a:moveTo>
                                  <a:pt x="10763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076325" y="9525"/>
                                </a:lnTo>
                                <a:lnTo>
                                  <a:pt x="10763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203.25pt;height:843pt;mso-position-horizontal-relative:page;mso-position-vertical-relative:page;z-index:-15796224" id="docshapegroup3" coordorigin="0,0" coordsize="4065,16860">
                <v:rect style="position:absolute;left:0;top:0;width:4065;height:16860" id="docshape4" filled="true" fillcolor="#8c7cc2" stroked="false">
                  <v:fill type="solid"/>
                </v:rect>
                <v:shape style="position:absolute;left:0;top:0;width:4050;height:3930" id="docshape5" coordorigin="0,0" coordsize="4050,3930" path="m0,3930l0,0,4050,0,0,3930xe" filled="true" fillcolor="#ffffff" stroked="false">
                  <v:path arrowok="t"/>
                  <v:fill type="solid"/>
                </v:shape>
                <v:shape style="position:absolute;left:0;top:0;width:4050;height:3930" id="docshape6" coordorigin="0,0" coordsize="4050,3930" path="m0,3930l0,0,4050,0,0,3930xe" filled="true" fillcolor="#d9d1e8" stroked="false">
                  <v:path arrowok="t"/>
                  <v:fill type="solid"/>
                </v:shape>
                <v:shape style="position:absolute;left:915;top:870;width:2215;height:2205" type="#_x0000_t75" id="docshape7" stroked="false">
                  <v:imagedata r:id="rId6" o:title=""/>
                </v:shape>
                <v:shape style="position:absolute;left:1050;top:915;width:1950;height:1965" type="#_x0000_t75" id="docshape8" stroked="false">
                  <v:imagedata r:id="rId7" o:title=""/>
                </v:shape>
                <v:shape style="position:absolute;left:689;top:4860;width:1695;height:7935" id="docshape9" coordorigin="690,4860" coordsize="1695,7935" path="m765,12752l764,12747,760,12738,758,12734,751,12727,747,12725,738,12721,733,12720,722,12720,717,12721,708,12725,704,12727,697,12734,695,12738,691,12747,690,12752,690,12758,690,12763,691,12768,695,12777,697,12781,704,12788,708,12790,717,12794,722,12795,733,12795,738,12794,747,12790,751,12788,758,12781,760,12777,764,12768,765,12763,765,12752xm765,12182l764,12177,760,12168,758,12164,751,12157,747,12155,738,12151,733,12150,722,12150,717,12151,708,12155,704,12157,697,12164,695,12168,691,12177,690,12182,690,12188,690,12193,691,12198,695,12207,697,12211,704,12218,708,12220,717,12224,722,12225,733,12225,738,12224,747,12220,751,12218,758,12211,760,12207,764,12198,765,12193,765,12182xm765,11861l764,11857,761,11850,759,11847,753,11841,750,11839,743,11836,739,11835,716,11835,712,11836,705,11839,702,11841,696,11847,694,11850,691,11857,690,11861,690,11865,690,11869,691,11873,694,11880,696,11883,702,11889,705,11891,712,11894,716,11895,739,11895,743,11894,750,11891,753,11889,759,11883,761,11880,764,11873,765,11869,765,11861xm765,11537l764,11532,760,11523,758,11519,751,11512,747,11510,738,11506,733,11505,722,11505,717,11506,708,11510,704,11512,697,11519,695,11523,691,11532,690,11537,690,11543,690,11548,691,11553,695,11562,697,11566,704,11573,708,11575,717,11579,722,11580,733,11580,738,11579,747,11575,751,11573,758,11566,760,11562,764,11553,765,11548,765,11537xm765,11207l764,11202,760,11193,758,11189,751,11182,747,11180,738,11176,733,11175,722,11175,717,11176,708,11180,704,11182,697,11189,695,11193,691,11202,690,11207,690,11213,690,11218,691,11223,695,11232,697,11236,704,11243,708,11245,717,11249,722,11250,733,11250,738,11249,747,11245,751,11243,758,11236,760,11232,764,11223,765,11218,765,11207xm765,10652l764,10647,760,10638,758,10634,751,10627,747,10625,738,10621,733,10620,722,10620,717,10621,708,10625,704,10627,697,10634,695,10638,691,10647,690,10652,690,10658,690,10663,691,10668,695,10677,697,10681,704,10688,708,10690,717,10694,722,10695,733,10695,738,10694,747,10690,751,10688,758,10681,760,10677,764,10668,765,10663,765,10652xm765,10082l764,10077,760,10068,758,10064,751,10057,747,10055,738,10051,733,10050,722,10050,717,10051,708,10055,704,10057,697,10064,695,10068,691,10077,690,10082,690,10088,690,10093,691,10098,695,10107,697,10111,704,10118,708,10120,717,10124,722,10125,733,10125,738,10124,747,10120,751,10118,758,10111,760,10107,764,10098,765,10093,765,10082xm765,9767l764,9762,760,9753,758,9749,751,9742,747,9740,738,9736,733,9735,722,9735,717,9736,708,9740,704,9742,697,9749,695,9753,691,9762,690,9767,690,9773,690,9778,691,9783,695,9792,697,9796,704,9803,708,9805,717,9809,722,9810,733,9810,738,9809,747,9805,751,9803,758,9796,760,9792,764,9783,765,9778,765,9767xm765,9437l764,9432,760,9423,758,9419,751,9412,747,9410,738,9406,733,9405,722,9405,717,9406,708,9410,704,9412,697,9419,695,9423,691,9432,690,9437,690,9443,690,9448,691,9453,695,9462,697,9466,704,9473,708,9475,717,9479,722,9480,733,9480,738,9479,747,9475,751,9473,758,9466,760,9462,764,9453,765,9448,765,9437xm765,9107l764,9102,760,9093,758,9089,751,9082,747,9080,738,9076,733,9075,722,9075,717,9076,708,9080,704,9082,697,9089,695,9093,691,9102,690,9107,690,9113,690,9118,691,9123,695,9132,697,9136,704,9143,708,9145,717,9149,722,9150,733,9150,738,9149,747,9145,751,9143,758,9136,760,9132,764,9123,765,9118,765,9107xm2385,5790l690,5790,690,5805,2385,5805,2385,5790xm2385,4860l690,4860,690,4875,2385,4875,2385,4860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2"/>
        <w:ind w:left="0" w:right="1623"/>
        <w:jc w:val="center"/>
      </w:pPr>
      <w:r>
        <w:rPr>
          <w:color w:val="4D09A2"/>
          <w:spacing w:val="-2"/>
        </w:rPr>
        <w:t>Certiﬁcations</w:t>
      </w:r>
    </w:p>
    <w:p>
      <w:pPr>
        <w:pStyle w:val="BodyText"/>
        <w:spacing w:before="5"/>
        <w:rPr>
          <w:b/>
        </w:rPr>
      </w:pPr>
    </w:p>
    <w:p>
      <w:pPr>
        <w:pStyle w:val="ListParagraph"/>
        <w:numPr>
          <w:ilvl w:val="1"/>
          <w:numId w:val="1"/>
        </w:numPr>
        <w:tabs>
          <w:tab w:pos="4663" w:val="left" w:leader="none"/>
        </w:tabs>
        <w:spacing w:line="273" w:lineRule="auto" w:before="0" w:after="0"/>
        <w:ind w:left="4663" w:right="73" w:hanging="297"/>
        <w:jc w:val="left"/>
        <w:rPr>
          <w:sz w:val="16"/>
        </w:rPr>
      </w:pPr>
      <w:r>
        <w:rPr>
          <w:w w:val="105"/>
          <w:sz w:val="16"/>
        </w:rPr>
        <w:t>OSHA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30-Hour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Construction,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OSHA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Outreach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Program,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through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OSHA-authorized trainers, 2021</w:t>
      </w:r>
    </w:p>
    <w:p>
      <w:pPr>
        <w:pStyle w:val="ListParagraph"/>
        <w:numPr>
          <w:ilvl w:val="1"/>
          <w:numId w:val="1"/>
        </w:numPr>
        <w:tabs>
          <w:tab w:pos="4663" w:val="left" w:leader="none"/>
        </w:tabs>
        <w:spacing w:line="273" w:lineRule="auto" w:before="106" w:after="0"/>
        <w:ind w:left="4663" w:right="222" w:hanging="297"/>
        <w:jc w:val="left"/>
        <w:rPr>
          <w:sz w:val="16"/>
        </w:rPr>
      </w:pPr>
      <w:r>
        <w:rPr>
          <w:w w:val="105"/>
          <w:sz w:val="16"/>
        </w:rPr>
        <w:t>Certiﬁed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Renovator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(EPA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Renovation,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Repair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Painting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Rule),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EPA-accredited</w:t>
      </w:r>
      <w:r>
        <w:rPr>
          <w:spacing w:val="-10"/>
          <w:w w:val="105"/>
          <w:sz w:val="16"/>
        </w:rPr>
        <w:t> </w:t>
      </w:r>
      <w:r>
        <w:rPr>
          <w:w w:val="105"/>
          <w:sz w:val="16"/>
        </w:rPr>
        <w:t>training provider, under the EPA Renovation, Repair and Painting Rule, 2022</w:t>
      </w:r>
    </w:p>
    <w:sectPr>
      <w:type w:val="continuous"/>
      <w:pgSz w:w="11920" w:h="16860"/>
      <w:pgMar w:top="0" w:bottom="0" w:left="283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numPicBullet w:numPicBulletId="1">
    <w:pict>
      <v:shape id="_x0000_i1076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888" w:hanging="291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4663" w:hanging="297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968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277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586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95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04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513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22" w:hanging="297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5204"/>
      <w:outlineLvl w:val="1"/>
    </w:pPr>
    <w:rPr>
      <w:rFonts w:ascii="Arial" w:hAnsi="Arial" w:eastAsia="Arial" w:cs="Arial"/>
      <w:b/>
      <w:bCs/>
      <w:sz w:val="67"/>
      <w:szCs w:val="67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07"/>
      <w:outlineLvl w:val="2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404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88" w:hanging="291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soren.donnelly@example.com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2026-10-08T02:43:03Z</dcterms:created>
  <dcterms:modified xsi:type="dcterms:W3CDTF">2026-10-08T02:43:03Z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