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520" w:right="0" w:firstLine="0"/>
        <w:jc w:val="left"/>
        <w:rPr>
          <w:sz w:val="74"/>
        </w:rPr>
      </w:pPr>
      <w:r>
        <w:rPr>
          <w:b/>
          <w:color w:val="FFFFFF"/>
          <w:spacing w:val="12"/>
          <w:sz w:val="74"/>
        </w:rPr>
        <w:t>Abigail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Ackerman</w:t>
      </w:r>
    </w:p>
    <w:p>
      <w:pPr>
        <w:pStyle w:val="Heading1"/>
      </w:pPr>
      <w:r>
        <w:rPr>
          <w:color w:val="FFFFFF"/>
          <w:spacing w:val="-2"/>
        </w:rPr>
        <w:t>Veterinarian</w:t>
      </w:r>
    </w:p>
    <w:p>
      <w:pPr>
        <w:spacing w:line="273" w:lineRule="auto" w:before="193"/>
        <w:ind w:left="520" w:right="312" w:firstLine="0"/>
        <w:jc w:val="left"/>
        <w:rPr>
          <w:sz w:val="16"/>
        </w:rPr>
      </w:pPr>
      <w:r>
        <w:rPr>
          <w:color w:val="FFFFFF"/>
          <w:w w:val="105"/>
          <w:sz w:val="16"/>
        </w:rPr>
        <w:t>Veterinarian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6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experience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emergency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triage,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surgical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care,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preventive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medicine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small-animal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clinical</w:t>
      </w:r>
      <w:r>
        <w:rPr>
          <w:color w:val="FFFFFF"/>
          <w:spacing w:val="29"/>
          <w:w w:val="105"/>
          <w:sz w:val="16"/>
        </w:rPr>
        <w:t> </w:t>
      </w:r>
      <w:r>
        <w:rPr>
          <w:color w:val="FFFFFF"/>
          <w:w w:val="105"/>
          <w:sz w:val="16"/>
        </w:rPr>
        <w:t>settings. Improved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post-surgical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recovery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rates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from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81.1%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93.7%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by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updating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pain-management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protocols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discharge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follow-up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schedules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for canine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orthopedic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patients.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Skilled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digital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radiography,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anesthesia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monitoring,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cloud-based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veterinary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software,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Fear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Free Veterinary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Professional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Certification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USDA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accreditation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through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National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Veterinary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Accreditation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Program.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47"/>
        <w:rPr>
          <w:sz w:val="18"/>
        </w:rPr>
      </w:pPr>
    </w:p>
    <w:p>
      <w:pPr>
        <w:spacing w:before="0"/>
        <w:ind w:left="948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2647949</wp:posOffset>
                </wp:positionH>
                <wp:positionV relativeFrom="paragraph">
                  <wp:posOffset>31320</wp:posOffset>
                </wp:positionV>
                <wp:extent cx="4920615" cy="2952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95275"/>
                        </a:xfrm>
                        <a:prstGeom prst="rect">
                          <a:avLst/>
                        </a:prstGeom>
                        <a:solidFill>
                          <a:srgbClr val="E69037"/>
                        </a:solidFill>
                      </wps:spPr>
                      <wps:txbx>
                        <w:txbxContent>
                          <w:p>
                            <w:pPr>
                              <w:spacing w:before="75"/>
                              <w:ind w:left="181" w:right="0" w:firstLine="0"/>
                              <w:jc w:val="left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FFFFFF"/>
                                <w:spacing w:val="-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8.499969pt;margin-top:2.466216pt;width:387.45pt;height:23.25pt;mso-position-horizontal-relative:page;mso-position-vertical-relative:paragraph;z-index:15730176" type="#_x0000_t202" id="docshape1" filled="true" fillcolor="#e69037" stroked="false">
                <v:textbox inset="0,0,0,0">
                  <w:txbxContent>
                    <w:p>
                      <w:pPr>
                        <w:spacing w:before="75"/>
                        <w:ind w:left="181" w:right="0" w:firstLine="0"/>
                        <w:jc w:val="lef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PROFESSIONAL</w:t>
                      </w:r>
                      <w:r>
                        <w:rPr>
                          <w:b/>
                          <w:color w:val="FFFFFF"/>
                          <w:spacing w:val="-1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pacing w:val="-2"/>
          <w:w w:val="105"/>
          <w:sz w:val="18"/>
        </w:rPr>
        <w:t>Prescott,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AZ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12345</w:t>
      </w:r>
    </w:p>
    <w:p>
      <w:pPr>
        <w:pStyle w:val="BodyText"/>
        <w:spacing w:before="134"/>
      </w:pPr>
    </w:p>
    <w:p>
      <w:pPr>
        <w:pStyle w:val="BodyText"/>
        <w:spacing w:after="0"/>
        <w:sectPr>
          <w:type w:val="continuous"/>
          <w:pgSz w:w="11920" w:h="16860"/>
          <w:pgMar w:top="820" w:bottom="280" w:left="0" w:right="0"/>
        </w:sectPr>
      </w:pPr>
    </w:p>
    <w:p>
      <w:pPr>
        <w:spacing w:before="74"/>
        <w:ind w:left="948" w:right="0" w:firstLine="0"/>
        <w:jc w:val="left"/>
        <w:rPr>
          <w:sz w:val="18"/>
        </w:rPr>
      </w:pPr>
      <w:r>
        <w:rPr>
          <w:sz w:val="18"/>
        </w:rPr>
        <w:t>(928)</w:t>
      </w:r>
      <w:r>
        <w:rPr>
          <w:spacing w:val="16"/>
          <w:sz w:val="18"/>
        </w:rPr>
        <w:t> </w:t>
      </w:r>
      <w:r>
        <w:rPr>
          <w:sz w:val="18"/>
        </w:rPr>
        <w:t>555-</w:t>
      </w:r>
      <w:r>
        <w:rPr>
          <w:spacing w:val="-4"/>
          <w:sz w:val="18"/>
        </w:rPr>
        <w:t>0111</w:t>
      </w:r>
    </w:p>
    <w:p>
      <w:pPr>
        <w:pStyle w:val="BodyText"/>
        <w:spacing w:before="186"/>
        <w:rPr>
          <w:sz w:val="18"/>
        </w:rPr>
      </w:pPr>
    </w:p>
    <w:p>
      <w:pPr>
        <w:spacing w:before="0"/>
        <w:ind w:left="948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336166</wp:posOffset>
                </wp:positionV>
                <wp:extent cx="2352675" cy="295275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352675" cy="295275"/>
                        </a:xfrm>
                        <a:prstGeom prst="rect">
                          <a:avLst/>
                        </a:prstGeom>
                        <a:solidFill>
                          <a:srgbClr val="E69037"/>
                        </a:solidFill>
                      </wps:spPr>
                      <wps:txbx>
                        <w:txbxContent>
                          <w:p>
                            <w:pPr>
                              <w:spacing w:before="75"/>
                              <w:ind w:left="185" w:right="0" w:firstLine="0"/>
                              <w:jc w:val="left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26.469805pt;width:185.25pt;height:23.25pt;mso-position-horizontal-relative:page;mso-position-vertical-relative:paragraph;z-index:15729664" type="#_x0000_t202" id="docshape2" filled="true" fillcolor="#e69037" stroked="false">
                <v:textbox inset="0,0,0,0">
                  <w:txbxContent>
                    <w:p>
                      <w:pPr>
                        <w:spacing w:before="75"/>
                        <w:ind w:left="185" w:right="0" w:firstLine="0"/>
                        <w:jc w:val="lef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SKILLS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hyperlink r:id="rId5">
        <w:r>
          <w:rPr>
            <w:spacing w:val="-2"/>
            <w:sz w:val="18"/>
          </w:rPr>
          <w:t>abigail.ackerman@example.com</w:t>
        </w:r>
      </w:hyperlink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73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16" w:val="left" w:leader="none"/>
        </w:tabs>
        <w:spacing w:line="351" w:lineRule="exact" w:before="0" w:after="0"/>
        <w:ind w:left="816" w:right="0" w:hanging="296"/>
        <w:jc w:val="left"/>
        <w:rPr>
          <w:sz w:val="20"/>
        </w:rPr>
      </w:pPr>
      <w:r>
        <w:rPr>
          <w:w w:val="105"/>
          <w:sz w:val="20"/>
        </w:rPr>
        <w:t>Digital</w:t>
      </w:r>
      <w:r>
        <w:rPr>
          <w:spacing w:val="-14"/>
          <w:w w:val="105"/>
          <w:sz w:val="20"/>
        </w:rPr>
        <w:t> </w:t>
      </w:r>
      <w:r>
        <w:rPr>
          <w:spacing w:val="-2"/>
          <w:w w:val="105"/>
          <w:sz w:val="20"/>
        </w:rPr>
        <w:t>Radiography</w:t>
      </w:r>
    </w:p>
    <w:p>
      <w:pPr>
        <w:pStyle w:val="ListParagraph"/>
        <w:numPr>
          <w:ilvl w:val="0"/>
          <w:numId w:val="1"/>
        </w:numPr>
        <w:tabs>
          <w:tab w:pos="816" w:val="left" w:leader="none"/>
        </w:tabs>
        <w:spacing w:line="345" w:lineRule="exact" w:before="0" w:after="0"/>
        <w:ind w:left="816" w:right="0" w:hanging="296"/>
        <w:jc w:val="left"/>
        <w:rPr>
          <w:sz w:val="20"/>
        </w:rPr>
      </w:pPr>
      <w:r>
        <w:rPr>
          <w:sz w:val="20"/>
        </w:rPr>
        <w:t>Ultrasound</w:t>
      </w:r>
      <w:r>
        <w:rPr>
          <w:spacing w:val="22"/>
          <w:sz w:val="20"/>
        </w:rPr>
        <w:t> </w:t>
      </w:r>
      <w:r>
        <w:rPr>
          <w:spacing w:val="-2"/>
          <w:sz w:val="20"/>
        </w:rPr>
        <w:t>Imaging</w:t>
      </w:r>
    </w:p>
    <w:p>
      <w:pPr>
        <w:pStyle w:val="ListParagraph"/>
        <w:numPr>
          <w:ilvl w:val="0"/>
          <w:numId w:val="1"/>
        </w:numPr>
        <w:tabs>
          <w:tab w:pos="816" w:val="left" w:leader="none"/>
        </w:tabs>
        <w:spacing w:line="351" w:lineRule="exact" w:before="0" w:after="0"/>
        <w:ind w:left="816" w:right="0" w:hanging="296"/>
        <w:jc w:val="left"/>
        <w:rPr>
          <w:sz w:val="20"/>
        </w:rPr>
      </w:pPr>
      <w:r>
        <w:rPr>
          <w:sz w:val="20"/>
        </w:rPr>
        <w:t>Anesthesia</w:t>
      </w:r>
      <w:r>
        <w:rPr>
          <w:spacing w:val="11"/>
          <w:sz w:val="20"/>
        </w:rPr>
        <w:t> </w:t>
      </w:r>
      <w:r>
        <w:rPr>
          <w:spacing w:val="-2"/>
          <w:sz w:val="20"/>
        </w:rPr>
        <w:t>Monitoring</w:t>
      </w:r>
    </w:p>
    <w:p>
      <w:pPr>
        <w:pStyle w:val="ListParagraph"/>
        <w:numPr>
          <w:ilvl w:val="0"/>
          <w:numId w:val="1"/>
        </w:numPr>
        <w:tabs>
          <w:tab w:pos="816" w:val="left" w:leader="none"/>
        </w:tabs>
        <w:spacing w:line="351" w:lineRule="exact" w:before="4" w:after="0"/>
        <w:ind w:left="816" w:right="0" w:hanging="296"/>
        <w:jc w:val="left"/>
        <w:rPr>
          <w:sz w:val="20"/>
        </w:rPr>
      </w:pPr>
      <w:r>
        <w:rPr>
          <w:spacing w:val="-2"/>
          <w:w w:val="105"/>
          <w:sz w:val="20"/>
        </w:rPr>
        <w:t>Surgical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Instruments</w:t>
      </w:r>
    </w:p>
    <w:p>
      <w:pPr>
        <w:pStyle w:val="ListParagraph"/>
        <w:numPr>
          <w:ilvl w:val="0"/>
          <w:numId w:val="1"/>
        </w:numPr>
        <w:tabs>
          <w:tab w:pos="816" w:val="left" w:leader="none"/>
          <w:tab w:pos="818" w:val="left" w:leader="none"/>
        </w:tabs>
        <w:spacing w:line="216" w:lineRule="auto" w:before="20" w:after="0"/>
        <w:ind w:left="818" w:right="680" w:hanging="298"/>
        <w:jc w:val="left"/>
        <w:rPr>
          <w:sz w:val="20"/>
        </w:rPr>
      </w:pPr>
      <w:r>
        <w:rPr>
          <w:sz w:val="20"/>
        </w:rPr>
        <w:t>Cloud-based Veterinary </w:t>
      </w:r>
      <w:r>
        <w:rPr>
          <w:spacing w:val="-2"/>
          <w:w w:val="105"/>
          <w:sz w:val="20"/>
        </w:rPr>
        <w:t>Software</w:t>
      </w:r>
    </w:p>
    <w:p>
      <w:pPr>
        <w:spacing w:before="87"/>
        <w:ind w:left="464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VETERINARIAN</w:t>
      </w:r>
      <w:r>
        <w:rPr>
          <w:b/>
          <w:spacing w:val="5"/>
          <w:sz w:val="20"/>
        </w:rPr>
        <w:t> </w:t>
      </w:r>
      <w:r>
        <w:rPr>
          <w:position w:val="3"/>
          <w:sz w:val="20"/>
        </w:rPr>
        <w:t>|</w:t>
      </w:r>
      <w:r>
        <w:rPr>
          <w:spacing w:val="5"/>
          <w:position w:val="3"/>
          <w:sz w:val="20"/>
        </w:rPr>
        <w:t> </w:t>
      </w:r>
      <w:r>
        <w:rPr>
          <w:b/>
          <w:sz w:val="20"/>
        </w:rPr>
        <w:t>GRANITE</w:t>
      </w:r>
      <w:r>
        <w:rPr>
          <w:b/>
          <w:spacing w:val="7"/>
          <w:sz w:val="20"/>
        </w:rPr>
        <w:t> </w:t>
      </w:r>
      <w:r>
        <w:rPr>
          <w:b/>
          <w:sz w:val="20"/>
        </w:rPr>
        <w:t>CREEK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ANIMAL</w:t>
      </w:r>
      <w:r>
        <w:rPr>
          <w:b/>
          <w:spacing w:val="2"/>
          <w:sz w:val="20"/>
        </w:rPr>
        <w:t> </w:t>
      </w:r>
      <w:r>
        <w:rPr>
          <w:b/>
          <w:sz w:val="20"/>
        </w:rPr>
        <w:t>HOSPITAL,</w:t>
      </w:r>
      <w:r>
        <w:rPr>
          <w:b/>
          <w:spacing w:val="7"/>
          <w:sz w:val="20"/>
        </w:rPr>
        <w:t> </w:t>
      </w:r>
      <w:r>
        <w:rPr>
          <w:b/>
          <w:sz w:val="20"/>
        </w:rPr>
        <w:t>PRESCOTT,</w:t>
      </w:r>
      <w:r>
        <w:rPr>
          <w:b/>
          <w:spacing w:val="-2"/>
          <w:sz w:val="20"/>
        </w:rPr>
        <w:t> </w:t>
      </w:r>
      <w:r>
        <w:rPr>
          <w:b/>
          <w:spacing w:val="-5"/>
          <w:sz w:val="20"/>
        </w:rPr>
        <w:t>AZ</w:t>
      </w:r>
    </w:p>
    <w:p>
      <w:pPr>
        <w:pStyle w:val="BodyText"/>
        <w:spacing w:before="23"/>
        <w:ind w:left="464"/>
      </w:pPr>
      <w:r>
        <w:rPr/>
        <w:t>2023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2"/>
        </w:rPr>
        <w:t>PRESENT</w:t>
      </w:r>
    </w:p>
    <w:p>
      <w:pPr>
        <w:pStyle w:val="BodyText"/>
        <w:spacing w:before="18"/>
      </w:pPr>
    </w:p>
    <w:p>
      <w:pPr>
        <w:pStyle w:val="ListParagraph"/>
        <w:numPr>
          <w:ilvl w:val="1"/>
          <w:numId w:val="1"/>
        </w:numPr>
        <w:tabs>
          <w:tab w:pos="945" w:val="left" w:leader="none"/>
          <w:tab w:pos="947" w:val="left" w:leader="none"/>
        </w:tabs>
        <w:spacing w:line="216" w:lineRule="auto" w:before="0" w:after="0"/>
        <w:ind w:left="947" w:right="410" w:hanging="298"/>
        <w:jc w:val="left"/>
        <w:rPr>
          <w:sz w:val="20"/>
        </w:rPr>
      </w:pPr>
      <w:r>
        <w:rPr>
          <w:w w:val="105"/>
          <w:sz w:val="20"/>
        </w:rPr>
        <w:t>Managed 137 emergency cases per year, triaging trauma, toxicosis, and </w:t>
      </w:r>
      <w:r>
        <w:rPr>
          <w:spacing w:val="-2"/>
          <w:w w:val="105"/>
          <w:sz w:val="20"/>
        </w:rPr>
        <w:t>acute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illness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presentations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with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an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average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stabilization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time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of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38</w:t>
      </w:r>
      <w:r>
        <w:rPr>
          <w:spacing w:val="-5"/>
          <w:w w:val="105"/>
          <w:sz w:val="20"/>
        </w:rPr>
        <w:t> </w:t>
      </w:r>
      <w:r>
        <w:rPr>
          <w:spacing w:val="-2"/>
          <w:w w:val="105"/>
          <w:sz w:val="20"/>
        </w:rPr>
        <w:t>minutes.</w:t>
      </w:r>
    </w:p>
    <w:p>
      <w:pPr>
        <w:pStyle w:val="ListParagraph"/>
        <w:numPr>
          <w:ilvl w:val="1"/>
          <w:numId w:val="1"/>
        </w:numPr>
        <w:tabs>
          <w:tab w:pos="945" w:val="left" w:leader="none"/>
          <w:tab w:pos="947" w:val="left" w:leader="none"/>
        </w:tabs>
        <w:spacing w:line="216" w:lineRule="auto" w:before="73" w:after="0"/>
        <w:ind w:left="947" w:right="1008" w:hanging="298"/>
        <w:jc w:val="left"/>
        <w:rPr>
          <w:sz w:val="20"/>
        </w:rPr>
      </w:pPr>
      <w:r>
        <w:rPr>
          <w:w w:val="105"/>
          <w:sz w:val="20"/>
        </w:rPr>
        <w:t>Administered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core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non-core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vaccines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278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animals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per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month, documenting each protocol in cloud-based veterinary software.</w:t>
      </w:r>
    </w:p>
    <w:p>
      <w:pPr>
        <w:pStyle w:val="ListParagraph"/>
        <w:numPr>
          <w:ilvl w:val="1"/>
          <w:numId w:val="1"/>
        </w:numPr>
        <w:tabs>
          <w:tab w:pos="945" w:val="left" w:leader="none"/>
          <w:tab w:pos="947" w:val="left" w:leader="none"/>
        </w:tabs>
        <w:spacing w:line="216" w:lineRule="auto" w:before="72" w:after="0"/>
        <w:ind w:left="947" w:right="455" w:hanging="298"/>
        <w:jc w:val="left"/>
        <w:rPr>
          <w:sz w:val="20"/>
        </w:rPr>
      </w:pPr>
      <w:r>
        <w:rPr>
          <w:w w:val="105"/>
          <w:sz w:val="20"/>
        </w:rPr>
        <w:t>Improved post-surgical recovery rates from 81.1% to 93.7% by updating pain-management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protocols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discharge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follow-up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schedules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for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canine</w:t>
      </w:r>
    </w:p>
    <w:p>
      <w:pPr>
        <w:pStyle w:val="BodyText"/>
        <w:spacing w:before="44"/>
        <w:ind w:left="947"/>
      </w:pPr>
      <w:r>
        <w:rPr>
          <w:w w:val="105"/>
        </w:rPr>
        <w:t>orthopedic</w:t>
      </w:r>
      <w:r>
        <w:rPr>
          <w:spacing w:val="-2"/>
          <w:w w:val="105"/>
        </w:rPr>
        <w:t> patients.</w:t>
      </w:r>
    </w:p>
    <w:p>
      <w:pPr>
        <w:pStyle w:val="ListParagraph"/>
        <w:numPr>
          <w:ilvl w:val="1"/>
          <w:numId w:val="1"/>
        </w:numPr>
        <w:tabs>
          <w:tab w:pos="945" w:val="left" w:leader="none"/>
          <w:tab w:pos="947" w:val="left" w:leader="none"/>
        </w:tabs>
        <w:spacing w:line="216" w:lineRule="auto" w:before="68" w:after="0"/>
        <w:ind w:left="947" w:right="747" w:hanging="298"/>
        <w:jc w:val="left"/>
        <w:rPr>
          <w:sz w:val="20"/>
        </w:rPr>
      </w:pPr>
      <w:r>
        <w:rPr>
          <w:spacing w:val="-2"/>
          <w:w w:val="105"/>
          <w:sz w:val="20"/>
        </w:rPr>
        <w:t>Trained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5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veterinary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technicians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on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low-stress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restraint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and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examination </w:t>
      </w:r>
      <w:r>
        <w:rPr>
          <w:w w:val="105"/>
          <w:sz w:val="20"/>
        </w:rPr>
        <w:t>techniques, reducing patient stress indicators during routine visits.</w:t>
      </w:r>
    </w:p>
    <w:p>
      <w:pPr>
        <w:pStyle w:val="ListParagraph"/>
        <w:spacing w:after="0" w:line="216" w:lineRule="auto"/>
        <w:jc w:val="left"/>
        <w:rPr>
          <w:sz w:val="20"/>
        </w:rPr>
        <w:sectPr>
          <w:type w:val="continuous"/>
          <w:pgSz w:w="11920" w:h="16860"/>
          <w:pgMar w:top="820" w:bottom="280" w:left="0" w:right="0"/>
          <w:cols w:num="2" w:equalWidth="0">
            <w:col w:w="3662" w:space="40"/>
            <w:col w:w="8218"/>
          </w:cols>
        </w:sectPr>
      </w:pPr>
    </w:p>
    <w:p>
      <w:pPr>
        <w:pStyle w:val="ListParagraph"/>
        <w:numPr>
          <w:ilvl w:val="0"/>
          <w:numId w:val="1"/>
        </w:numPr>
        <w:tabs>
          <w:tab w:pos="816" w:val="left" w:leader="none"/>
        </w:tabs>
        <w:spacing w:line="240" w:lineRule="auto" w:before="46" w:after="0"/>
        <w:ind w:left="816" w:right="0" w:hanging="296"/>
        <w:jc w:val="left"/>
        <w:rPr>
          <w:sz w:val="20"/>
        </w:rPr>
      </w:pPr>
      <w:r>
        <w:rPr>
          <w:sz w:val="20"/>
        </w:rPr>
        <w:t>Zoonotic</w:t>
      </w:r>
      <w:r>
        <w:rPr>
          <w:spacing w:val="14"/>
          <w:sz w:val="20"/>
        </w:rPr>
        <w:t> </w:t>
      </w:r>
      <w:r>
        <w:rPr>
          <w:sz w:val="20"/>
        </w:rPr>
        <w:t>Disease</w:t>
      </w:r>
      <w:r>
        <w:rPr>
          <w:spacing w:val="15"/>
          <w:sz w:val="20"/>
        </w:rPr>
        <w:t> </w:t>
      </w:r>
      <w:r>
        <w:rPr>
          <w:spacing w:val="-2"/>
          <w:sz w:val="20"/>
        </w:rPr>
        <w:t>Prevention</w:t>
      </w:r>
    </w:p>
    <w:p>
      <w:pPr>
        <w:pStyle w:val="ListParagraph"/>
        <w:numPr>
          <w:ilvl w:val="0"/>
          <w:numId w:val="1"/>
        </w:numPr>
        <w:tabs>
          <w:tab w:pos="816" w:val="left" w:leader="none"/>
        </w:tabs>
        <w:spacing w:line="351" w:lineRule="exact" w:before="4" w:after="0"/>
        <w:ind w:left="816" w:right="0" w:hanging="296"/>
        <w:jc w:val="left"/>
        <w:rPr>
          <w:sz w:val="20"/>
        </w:rPr>
      </w:pPr>
      <w:r>
        <w:rPr>
          <w:sz w:val="20"/>
        </w:rPr>
        <w:t>Wound</w:t>
      </w:r>
      <w:r>
        <w:rPr>
          <w:spacing w:val="6"/>
          <w:sz w:val="20"/>
        </w:rPr>
        <w:t> </w:t>
      </w:r>
      <w:r>
        <w:rPr>
          <w:spacing w:val="-2"/>
          <w:sz w:val="20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816" w:val="left" w:leader="none"/>
        </w:tabs>
        <w:spacing w:line="329" w:lineRule="exact" w:before="0" w:after="0"/>
        <w:ind w:left="816" w:right="0" w:hanging="296"/>
        <w:jc w:val="left"/>
        <w:rPr>
          <w:sz w:val="20"/>
        </w:rPr>
      </w:pPr>
      <w:r>
        <w:rPr>
          <w:spacing w:val="-2"/>
          <w:w w:val="105"/>
          <w:sz w:val="20"/>
        </w:rPr>
        <w:t>Pharmacology</w:t>
      </w:r>
    </w:p>
    <w:p>
      <w:pPr>
        <w:spacing w:line="264" w:lineRule="auto" w:before="106"/>
        <w:ind w:left="520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ASSOCIATE VETERINARIAN </w:t>
      </w:r>
      <w:r>
        <w:rPr>
          <w:position w:val="3"/>
          <w:sz w:val="20"/>
        </w:rPr>
        <w:t>| </w:t>
      </w:r>
      <w:r>
        <w:rPr>
          <w:b/>
          <w:sz w:val="20"/>
        </w:rPr>
        <w:t>VERDE VALLEY COMPANION CARE, COTTONWOOD, AZ</w:t>
      </w:r>
    </w:p>
    <w:p>
      <w:pPr>
        <w:pStyle w:val="BodyText"/>
        <w:spacing w:before="3"/>
        <w:ind w:left="520"/>
      </w:pPr>
      <w:r>
        <w:rPr/>
        <w:t>2021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0" w:right="0"/>
          <w:cols w:num="2" w:equalWidth="0">
            <w:col w:w="3468" w:space="178"/>
            <w:col w:w="8274"/>
          </w:cols>
        </w:sectPr>
      </w:pPr>
    </w:p>
    <w:p>
      <w:pPr>
        <w:pStyle w:val="ListParagraph"/>
        <w:numPr>
          <w:ilvl w:val="0"/>
          <w:numId w:val="1"/>
        </w:numPr>
        <w:tabs>
          <w:tab w:pos="816" w:val="left" w:leader="none"/>
        </w:tabs>
        <w:spacing w:line="240" w:lineRule="auto" w:before="10" w:after="0"/>
        <w:ind w:left="816" w:right="0" w:hanging="296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207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10382250"/>
                            <a:ext cx="7568565" cy="322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322580">
                                <a:moveTo>
                                  <a:pt x="0" y="322326"/>
                                </a:moveTo>
                                <a:lnTo>
                                  <a:pt x="7568183" y="322326"/>
                                </a:lnTo>
                                <a:lnTo>
                                  <a:pt x="7568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2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C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1"/>
                            <a:ext cx="75685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0704830">
                                <a:moveTo>
                                  <a:pt x="2454351" y="10382250"/>
                                </a:moveTo>
                                <a:lnTo>
                                  <a:pt x="2444839" y="10382250"/>
                                </a:lnTo>
                                <a:lnTo>
                                  <a:pt x="2444839" y="10704563"/>
                                </a:lnTo>
                                <a:lnTo>
                                  <a:pt x="2454351" y="10704563"/>
                                </a:lnTo>
                                <a:lnTo>
                                  <a:pt x="2454351" y="10382250"/>
                                </a:lnTo>
                                <a:close/>
                              </a:path>
                              <a:path w="7568565" h="10704830">
                                <a:moveTo>
                                  <a:pt x="7568171" y="0"/>
                                </a:moveTo>
                                <a:lnTo>
                                  <a:pt x="2454351" y="0"/>
                                </a:lnTo>
                                <a:lnTo>
                                  <a:pt x="24448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52700"/>
                                </a:lnTo>
                                <a:lnTo>
                                  <a:pt x="2444839" y="2552700"/>
                                </a:lnTo>
                                <a:lnTo>
                                  <a:pt x="2454351" y="2552700"/>
                                </a:lnTo>
                                <a:lnTo>
                                  <a:pt x="7568171" y="25527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2552699"/>
                            <a:ext cx="2457450" cy="782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7829550">
                                <a:moveTo>
                                  <a:pt x="2457449" y="7829549"/>
                                </a:moveTo>
                                <a:lnTo>
                                  <a:pt x="0" y="782954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7829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C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7924" y="2552699"/>
                            <a:ext cx="9525" cy="782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7829550">
                                <a:moveTo>
                                  <a:pt x="9524" y="7829549"/>
                                </a:moveTo>
                                <a:lnTo>
                                  <a:pt x="0" y="78295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7829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686049"/>
                            <a:ext cx="161925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6" y="3124199"/>
                            <a:ext cx="161923" cy="1653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505199"/>
                            <a:ext cx="161924" cy="1904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2457449" y="2552699"/>
                            <a:ext cx="5111115" cy="782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1115" h="7829550">
                                <a:moveTo>
                                  <a:pt x="5110733" y="7829549"/>
                                </a:moveTo>
                                <a:lnTo>
                                  <a:pt x="0" y="7829549"/>
                                </a:lnTo>
                                <a:lnTo>
                                  <a:pt x="0" y="0"/>
                                </a:lnTo>
                                <a:lnTo>
                                  <a:pt x="5110733" y="0"/>
                                </a:lnTo>
                                <a:lnTo>
                                  <a:pt x="5110733" y="7829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C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5pt;width:595.950pt;height:842.9pt;mso-position-horizontal-relative:page;mso-position-vertical-relative:page;z-index:-15795712" id="docshapegroup3" coordorigin="0,0" coordsize="11919,16858">
                <v:rect style="position:absolute;left:0;top:16350;width:11919;height:508" id="docshape4" filled="true" fillcolor="#f7ece2" stroked="false">
                  <v:fill type="solid"/>
                </v:rect>
                <v:shape style="position:absolute;left:0;top:0;width:11919;height:16858" id="docshape5" coordorigin="0,0" coordsize="11919,16858" path="m3865,16350l3850,16350,3850,16858,3865,16858,3865,16350xm11918,0l3865,0,3850,0,0,0,0,4020,3850,4020,3865,4020,11918,4020,11918,0xe" filled="true" fillcolor="#424242" stroked="false">
                  <v:path arrowok="t"/>
                  <v:fill type="solid"/>
                </v:shape>
                <v:rect style="position:absolute;left:0;top:4020;width:3870;height:12330" id="docshape6" filled="true" fillcolor="#f7ece2" stroked="false">
                  <v:fill type="solid"/>
                </v:rect>
                <v:rect style="position:absolute;left:3855;top:4020;width:15;height:12330" id="docshape7" filled="true" fillcolor="#424242" stroked="false">
                  <v:fill type="solid"/>
                </v:rect>
                <v:shape style="position:absolute;left:525;top:4230;width:255;height:360" type="#_x0000_t75" id="docshape8" stroked="false">
                  <v:imagedata r:id="rId6" o:title=""/>
                </v:shape>
                <v:shape style="position:absolute;left:525;top:4920;width:255;height:261" type="#_x0000_t75" id="docshape9" stroked="false">
                  <v:imagedata r:id="rId7" o:title=""/>
                </v:shape>
                <v:shape style="position:absolute;left:525;top:5520;width:255;height:300" type="#_x0000_t75" id="docshape10" stroked="false">
                  <v:imagedata r:id="rId8" o:title=""/>
                </v:shape>
                <v:rect style="position:absolute;left:3870;top:4020;width:8049;height:12330" id="docshape11" filled="true" fillcolor="#f7ece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z w:val="20"/>
        </w:rPr>
        <w:t>USDA</w:t>
      </w:r>
      <w:r>
        <w:rPr>
          <w:spacing w:val="19"/>
          <w:sz w:val="20"/>
        </w:rPr>
        <w:t> </w:t>
      </w:r>
      <w:r>
        <w:rPr>
          <w:sz w:val="20"/>
        </w:rPr>
        <w:t>Accreditation</w:t>
      </w:r>
      <w:r>
        <w:rPr>
          <w:spacing w:val="20"/>
          <w:sz w:val="20"/>
        </w:rPr>
        <w:t> </w:t>
      </w:r>
      <w:r>
        <w:rPr>
          <w:spacing w:val="-2"/>
          <w:sz w:val="20"/>
        </w:rPr>
        <w:t>Standards</w:t>
      </w:r>
    </w:p>
    <w:p>
      <w:pPr>
        <w:pStyle w:val="ListParagraph"/>
        <w:numPr>
          <w:ilvl w:val="0"/>
          <w:numId w:val="1"/>
        </w:numPr>
        <w:tabs>
          <w:tab w:pos="816" w:val="left" w:leader="none"/>
          <w:tab w:pos="818" w:val="left" w:leader="none"/>
        </w:tabs>
        <w:spacing w:line="216" w:lineRule="auto" w:before="30" w:after="0"/>
        <w:ind w:left="818" w:right="380" w:hanging="298"/>
        <w:jc w:val="left"/>
        <w:rPr>
          <w:sz w:val="20"/>
        </w:rPr>
      </w:pPr>
      <w:r>
        <w:rPr>
          <w:sz w:val="20"/>
        </w:rPr>
        <w:t>DEA Controlled Substance </w:t>
      </w:r>
      <w:r>
        <w:rPr>
          <w:spacing w:val="-2"/>
          <w:sz w:val="20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816" w:val="left" w:leader="none"/>
        </w:tabs>
        <w:spacing w:line="240" w:lineRule="auto" w:before="46" w:after="0"/>
        <w:ind w:left="816" w:right="0" w:hanging="296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385572</wp:posOffset>
                </wp:positionV>
                <wp:extent cx="2352675" cy="295275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2352675" cy="295275"/>
                        </a:xfrm>
                        <a:prstGeom prst="rect">
                          <a:avLst/>
                        </a:prstGeom>
                        <a:solidFill>
                          <a:srgbClr val="E69037"/>
                        </a:solidFill>
                      </wps:spPr>
                      <wps:txbx>
                        <w:txbxContent>
                          <w:p>
                            <w:pPr>
                              <w:spacing w:before="75"/>
                              <w:ind w:left="185" w:right="0" w:firstLine="0"/>
                              <w:jc w:val="left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30.360029pt;width:185.25pt;height:23.25pt;mso-position-horizontal-relative:page;mso-position-vertical-relative:paragraph;z-index:15729152" type="#_x0000_t202" id="docshape12" filled="true" fillcolor="#e69037" stroked="false">
                <v:textbox inset="0,0,0,0">
                  <w:txbxContent>
                    <w:p>
                      <w:pPr>
                        <w:spacing w:before="75"/>
                        <w:ind w:left="185" w:right="0" w:firstLine="0"/>
                        <w:jc w:val="lef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CERTIFICATIONS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w:t>Emergency</w:t>
      </w:r>
      <w:r>
        <w:rPr>
          <w:spacing w:val="23"/>
          <w:sz w:val="20"/>
        </w:rPr>
        <w:t> </w:t>
      </w:r>
      <w:r>
        <w:rPr>
          <w:spacing w:val="-2"/>
          <w:sz w:val="20"/>
        </w:rPr>
        <w:t>Triage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6"/>
      </w:pPr>
    </w:p>
    <w:p>
      <w:pPr>
        <w:pStyle w:val="ListParagraph"/>
        <w:numPr>
          <w:ilvl w:val="0"/>
          <w:numId w:val="1"/>
        </w:numPr>
        <w:tabs>
          <w:tab w:pos="816" w:val="left" w:leader="none"/>
          <w:tab w:pos="818" w:val="left" w:leader="none"/>
        </w:tabs>
        <w:spacing w:line="237" w:lineRule="auto" w:before="0" w:after="0"/>
        <w:ind w:left="818" w:right="414" w:hanging="298"/>
        <w:jc w:val="left"/>
        <w:rPr>
          <w:sz w:val="20"/>
        </w:rPr>
      </w:pPr>
      <w:r>
        <w:rPr>
          <w:sz w:val="20"/>
        </w:rPr>
        <w:t>North American Veterinary Licensing Examination, International Council for</w:t>
      </w:r>
    </w:p>
    <w:p>
      <w:pPr>
        <w:pStyle w:val="BodyText"/>
        <w:spacing w:before="28"/>
        <w:ind w:left="818"/>
      </w:pPr>
      <w:r>
        <w:rPr/>
        <w:t>Veterinary</w:t>
      </w:r>
      <w:r>
        <w:rPr>
          <w:spacing w:val="2"/>
        </w:rPr>
        <w:t> </w:t>
      </w:r>
      <w:r>
        <w:rPr/>
        <w:t>Assessment,</w:t>
      </w:r>
      <w:r>
        <w:rPr>
          <w:spacing w:val="3"/>
        </w:rPr>
        <w:t> </w:t>
      </w:r>
      <w:r>
        <w:rPr>
          <w:spacing w:val="-4"/>
        </w:rPr>
        <w:t>2020</w:t>
      </w:r>
    </w:p>
    <w:p>
      <w:pPr>
        <w:pStyle w:val="ListParagraph"/>
        <w:numPr>
          <w:ilvl w:val="0"/>
          <w:numId w:val="1"/>
        </w:numPr>
        <w:tabs>
          <w:tab w:pos="816" w:val="left" w:leader="none"/>
          <w:tab w:pos="818" w:val="left" w:leader="none"/>
        </w:tabs>
        <w:spacing w:line="254" w:lineRule="auto" w:before="41" w:after="0"/>
        <w:ind w:left="818" w:right="255" w:hanging="298"/>
        <w:jc w:val="left"/>
        <w:rPr>
          <w:sz w:val="20"/>
        </w:rPr>
      </w:pPr>
      <w:r>
        <w:rPr>
          <w:sz w:val="20"/>
        </w:rPr>
        <w:t>National Veterinary Accreditation, USDA Animal and Plant Health Inspection Service, 2020</w:t>
      </w:r>
    </w:p>
    <w:p>
      <w:pPr>
        <w:pStyle w:val="ListParagraph"/>
        <w:numPr>
          <w:ilvl w:val="0"/>
          <w:numId w:val="1"/>
        </w:numPr>
        <w:tabs>
          <w:tab w:pos="816" w:val="left" w:leader="none"/>
          <w:tab w:pos="818" w:val="left" w:leader="none"/>
        </w:tabs>
        <w:spacing w:line="237" w:lineRule="auto" w:before="19" w:after="0"/>
        <w:ind w:left="818" w:right="244" w:hanging="298"/>
        <w:jc w:val="left"/>
        <w:rPr>
          <w:sz w:val="20"/>
        </w:rPr>
      </w:pPr>
      <w:r>
        <w:rPr>
          <w:sz w:val="20"/>
        </w:rPr>
        <w:t>DEA Controlled Substance Registration, US Drug Enforcement Administration,</w:t>
      </w:r>
    </w:p>
    <w:p>
      <w:pPr>
        <w:pStyle w:val="BodyText"/>
        <w:spacing w:line="266" w:lineRule="auto" w:before="27"/>
        <w:ind w:left="818" w:right="66"/>
      </w:pPr>
      <w:r>
        <w:rPr/>
        <w:t>Diversion Control Division, </w:t>
      </w:r>
      <w:r>
        <w:rPr>
          <w:spacing w:val="-4"/>
        </w:rPr>
        <w:t>2020</w:t>
      </w:r>
    </w:p>
    <w:p>
      <w:pPr>
        <w:pStyle w:val="ListParagraph"/>
        <w:numPr>
          <w:ilvl w:val="0"/>
          <w:numId w:val="1"/>
        </w:numPr>
        <w:tabs>
          <w:tab w:pos="816" w:val="left" w:leader="none"/>
          <w:tab w:pos="818" w:val="left" w:leader="none"/>
        </w:tabs>
        <w:spacing w:line="237" w:lineRule="auto" w:before="34" w:after="0"/>
        <w:ind w:left="818" w:right="35" w:hanging="298"/>
        <w:jc w:val="left"/>
        <w:rPr>
          <w:sz w:val="20"/>
        </w:rPr>
      </w:pPr>
      <w:r>
        <w:rPr>
          <w:sz w:val="20"/>
        </w:rPr>
        <w:t>Fear Free Veterinary Professional Certiﬁcation, Fear Free, LLC, 2022</w:t>
      </w:r>
    </w:p>
    <w:p>
      <w:pPr>
        <w:pStyle w:val="ListParagraph"/>
        <w:numPr>
          <w:ilvl w:val="1"/>
          <w:numId w:val="1"/>
        </w:numPr>
        <w:tabs>
          <w:tab w:pos="968" w:val="left" w:leader="none"/>
          <w:tab w:pos="970" w:val="left" w:leader="none"/>
        </w:tabs>
        <w:spacing w:line="249" w:lineRule="auto" w:before="0" w:after="0"/>
        <w:ind w:left="970" w:right="701" w:hanging="298"/>
        <w:jc w:val="left"/>
        <w:rPr>
          <w:sz w:val="20"/>
        </w:rPr>
      </w:pPr>
      <w:r>
        <w:rPr/>
        <w:br w:type="column"/>
      </w:r>
      <w:r>
        <w:rPr>
          <w:spacing w:val="-2"/>
          <w:w w:val="105"/>
          <w:sz w:val="20"/>
        </w:rPr>
        <w:t>Treated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an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average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of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74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emergency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cases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annually,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performing</w:t>
      </w:r>
      <w:r>
        <w:rPr>
          <w:spacing w:val="-6"/>
          <w:w w:val="105"/>
          <w:sz w:val="20"/>
        </w:rPr>
        <w:t> </w:t>
      </w:r>
      <w:r>
        <w:rPr>
          <w:spacing w:val="-2"/>
          <w:w w:val="105"/>
          <w:sz w:val="20"/>
        </w:rPr>
        <w:t>wound </w:t>
      </w:r>
      <w:r>
        <w:rPr>
          <w:w w:val="105"/>
          <w:sz w:val="20"/>
        </w:rPr>
        <w:t>repair, fracture stabilization, and foreign-body removal under digital radiography guidance.</w:t>
      </w:r>
    </w:p>
    <w:p>
      <w:pPr>
        <w:pStyle w:val="ListParagraph"/>
        <w:numPr>
          <w:ilvl w:val="1"/>
          <w:numId w:val="1"/>
        </w:numPr>
        <w:tabs>
          <w:tab w:pos="968" w:val="left" w:leader="none"/>
          <w:tab w:pos="970" w:val="left" w:leader="none"/>
        </w:tabs>
        <w:spacing w:line="216" w:lineRule="auto" w:before="42" w:after="0"/>
        <w:ind w:left="970" w:right="490" w:hanging="298"/>
        <w:jc w:val="left"/>
        <w:rPr>
          <w:sz w:val="20"/>
        </w:rPr>
      </w:pPr>
      <w:r>
        <w:rPr>
          <w:w w:val="105"/>
          <w:sz w:val="20"/>
        </w:rPr>
        <w:t>Vaccinated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213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animals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per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month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across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a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mixed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small-animal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caseload, meeting USDA accreditation recordkeeping standards.</w:t>
      </w:r>
    </w:p>
    <w:p>
      <w:pPr>
        <w:pStyle w:val="ListParagraph"/>
        <w:numPr>
          <w:ilvl w:val="1"/>
          <w:numId w:val="1"/>
        </w:numPr>
        <w:tabs>
          <w:tab w:pos="968" w:val="left" w:leader="none"/>
          <w:tab w:pos="970" w:val="left" w:leader="none"/>
        </w:tabs>
        <w:spacing w:line="216" w:lineRule="auto" w:before="73" w:after="0"/>
        <w:ind w:left="970" w:right="410" w:hanging="298"/>
        <w:jc w:val="left"/>
        <w:rPr>
          <w:sz w:val="20"/>
        </w:rPr>
      </w:pPr>
      <w:r>
        <w:rPr>
          <w:w w:val="105"/>
          <w:sz w:val="20"/>
        </w:rPr>
        <w:t>Educated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6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community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groups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per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quarter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on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zoonotic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disease</w:t>
      </w:r>
      <w:r>
        <w:rPr>
          <w:spacing w:val="-13"/>
          <w:w w:val="105"/>
          <w:sz w:val="20"/>
        </w:rPr>
        <w:t> </w:t>
      </w:r>
      <w:r>
        <w:rPr>
          <w:w w:val="105"/>
          <w:sz w:val="20"/>
        </w:rPr>
        <w:t>prevention, reaching approximately 340 pet owners over 2 years.</w:t>
      </w:r>
    </w:p>
    <w:p>
      <w:pPr>
        <w:pStyle w:val="ListParagraph"/>
        <w:numPr>
          <w:ilvl w:val="1"/>
          <w:numId w:val="1"/>
        </w:numPr>
        <w:tabs>
          <w:tab w:pos="968" w:val="left" w:leader="none"/>
          <w:tab w:pos="970" w:val="left" w:leader="none"/>
        </w:tabs>
        <w:spacing w:line="216" w:lineRule="auto" w:before="87" w:after="0"/>
        <w:ind w:left="970" w:right="1027" w:hanging="298"/>
        <w:jc w:val="left"/>
        <w:rPr>
          <w:sz w:val="20"/>
        </w:rPr>
      </w:pPr>
      <w:r>
        <w:rPr>
          <w:w w:val="105"/>
          <w:sz w:val="20"/>
        </w:rPr>
        <w:t>Supervised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4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kennel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assistants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2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veterinary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technicians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on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daily patient handling and post-operative monitoring procedures.</w:t>
      </w:r>
    </w:p>
    <w:p>
      <w:pPr>
        <w:pStyle w:val="BodyText"/>
        <w:spacing w:before="161"/>
      </w:pPr>
    </w:p>
    <w:p>
      <w:pPr>
        <w:spacing w:line="264" w:lineRule="auto" w:before="0"/>
        <w:ind w:left="487" w:right="0" w:firstLine="0"/>
        <w:jc w:val="left"/>
        <w:rPr>
          <w:b/>
          <w:sz w:val="20"/>
        </w:rPr>
      </w:pPr>
      <w:r>
        <w:rPr>
          <w:b/>
          <w:sz w:val="20"/>
        </w:rPr>
        <w:t>ASSOCIATE VETERINARIAN </w:t>
      </w:r>
      <w:r>
        <w:rPr>
          <w:position w:val="3"/>
          <w:sz w:val="20"/>
        </w:rPr>
        <w:t>| </w:t>
      </w:r>
      <w:r>
        <w:rPr>
          <w:b/>
          <w:sz w:val="20"/>
        </w:rPr>
        <w:t>MINGUS MOUNTAIN PET CLINIC, PRESCOTT VALLEY, AZ</w:t>
      </w:r>
    </w:p>
    <w:p>
      <w:pPr>
        <w:pStyle w:val="BodyText"/>
        <w:spacing w:before="2"/>
        <w:ind w:left="487"/>
      </w:pPr>
      <w:r>
        <w:rPr/>
        <w:t>2020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>
          <w:spacing w:val="-4"/>
        </w:rPr>
        <w:t>2021</w:t>
      </w:r>
    </w:p>
    <w:p>
      <w:pPr>
        <w:pStyle w:val="BodyText"/>
        <w:spacing w:before="3"/>
      </w:pPr>
    </w:p>
    <w:p>
      <w:pPr>
        <w:pStyle w:val="ListParagraph"/>
        <w:numPr>
          <w:ilvl w:val="1"/>
          <w:numId w:val="1"/>
        </w:numPr>
        <w:tabs>
          <w:tab w:pos="968" w:val="left" w:leader="none"/>
          <w:tab w:pos="970" w:val="left" w:leader="none"/>
        </w:tabs>
        <w:spacing w:line="216" w:lineRule="auto" w:before="0" w:after="0"/>
        <w:ind w:left="970" w:right="944" w:hanging="298"/>
        <w:jc w:val="left"/>
        <w:rPr>
          <w:sz w:val="20"/>
        </w:rPr>
      </w:pPr>
      <w:r>
        <w:rPr>
          <w:w w:val="105"/>
          <w:sz w:val="20"/>
        </w:rPr>
        <w:t>Managed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53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emergency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cases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during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the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ﬁrst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year,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including</w:t>
      </w:r>
      <w:r>
        <w:rPr>
          <w:spacing w:val="-7"/>
          <w:w w:val="105"/>
          <w:sz w:val="20"/>
        </w:rPr>
        <w:t> </w:t>
      </w:r>
      <w:r>
        <w:rPr>
          <w:w w:val="105"/>
          <w:sz w:val="20"/>
        </w:rPr>
        <w:t>gastric </w:t>
      </w:r>
      <w:r>
        <w:rPr>
          <w:spacing w:val="-2"/>
          <w:w w:val="105"/>
          <w:sz w:val="20"/>
        </w:rPr>
        <w:t>dilatation-volvulus stabilizations and laceration closures averaging 42</w:t>
      </w:r>
    </w:p>
    <w:p>
      <w:pPr>
        <w:pStyle w:val="BodyText"/>
        <w:spacing w:before="44"/>
        <w:ind w:left="970"/>
      </w:pPr>
      <w:r>
        <w:rPr/>
        <w:t>minutes</w:t>
      </w:r>
      <w:r>
        <w:rPr>
          <w:spacing w:val="9"/>
        </w:rPr>
        <w:t> </w:t>
      </w:r>
      <w:r>
        <w:rPr>
          <w:spacing w:val="-2"/>
        </w:rPr>
        <w:t>each.</w:t>
      </w:r>
    </w:p>
    <w:p>
      <w:pPr>
        <w:pStyle w:val="ListParagraph"/>
        <w:numPr>
          <w:ilvl w:val="1"/>
          <w:numId w:val="1"/>
        </w:numPr>
        <w:tabs>
          <w:tab w:pos="968" w:val="left" w:leader="none"/>
          <w:tab w:pos="970" w:val="left" w:leader="none"/>
        </w:tabs>
        <w:spacing w:line="237" w:lineRule="auto" w:before="45" w:after="0"/>
        <w:ind w:left="970" w:right="459" w:hanging="298"/>
        <w:jc w:val="left"/>
        <w:rPr>
          <w:sz w:val="20"/>
        </w:rPr>
      </w:pPr>
      <w:r>
        <w:rPr>
          <w:w w:val="105"/>
          <w:sz w:val="20"/>
        </w:rPr>
        <w:t>Prescribed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medications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and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set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fractures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for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an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average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of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19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patients</w:t>
      </w:r>
      <w:r>
        <w:rPr>
          <w:spacing w:val="-12"/>
          <w:w w:val="105"/>
          <w:sz w:val="20"/>
        </w:rPr>
        <w:t> </w:t>
      </w:r>
      <w:r>
        <w:rPr>
          <w:w w:val="105"/>
          <w:sz w:val="20"/>
        </w:rPr>
        <w:t>per week, verifying controlled substance logs in compliance with DEA </w:t>
      </w:r>
      <w:r>
        <w:rPr>
          <w:spacing w:val="-2"/>
          <w:w w:val="105"/>
          <w:sz w:val="20"/>
        </w:rPr>
        <w:t>regulations.</w:t>
      </w:r>
    </w:p>
    <w:p>
      <w:pPr>
        <w:pStyle w:val="ListParagraph"/>
        <w:numPr>
          <w:ilvl w:val="1"/>
          <w:numId w:val="1"/>
        </w:numPr>
        <w:tabs>
          <w:tab w:pos="968" w:val="left" w:leader="none"/>
          <w:tab w:pos="970" w:val="left" w:leader="none"/>
        </w:tabs>
        <w:spacing w:line="216" w:lineRule="auto" w:before="70" w:after="0"/>
        <w:ind w:left="970" w:right="614" w:hanging="298"/>
        <w:jc w:val="left"/>
        <w:rPr>
          <w:sz w:val="20"/>
        </w:rPr>
      </w:pPr>
      <w:r>
        <w:rPr>
          <w:w w:val="105"/>
          <w:sz w:val="20"/>
        </w:rPr>
        <w:t>Raised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recovery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rates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for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feline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surgical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patients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from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79.1%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to</w:t>
      </w:r>
      <w:r>
        <w:rPr>
          <w:spacing w:val="-14"/>
          <w:w w:val="105"/>
          <w:sz w:val="20"/>
        </w:rPr>
        <w:t> </w:t>
      </w:r>
      <w:r>
        <w:rPr>
          <w:w w:val="105"/>
          <w:sz w:val="20"/>
        </w:rPr>
        <w:t>91.8%</w:t>
      </w:r>
      <w:r>
        <w:rPr>
          <w:spacing w:val="-15"/>
          <w:w w:val="105"/>
          <w:sz w:val="20"/>
        </w:rPr>
        <w:t> </w:t>
      </w:r>
      <w:r>
        <w:rPr>
          <w:w w:val="105"/>
          <w:sz w:val="20"/>
        </w:rPr>
        <w:t>by introducing standardized post-operative monitoring checklists.</w:t>
      </w:r>
    </w:p>
    <w:p>
      <w:pPr>
        <w:pStyle w:val="ListParagraph"/>
        <w:spacing w:after="0" w:line="216" w:lineRule="auto"/>
        <w:jc w:val="left"/>
        <w:rPr>
          <w:sz w:val="20"/>
        </w:rPr>
        <w:sectPr>
          <w:type w:val="continuous"/>
          <w:pgSz w:w="11920" w:h="16860"/>
          <w:pgMar w:top="820" w:bottom="280" w:left="0" w:right="0"/>
          <w:cols w:num="2" w:equalWidth="0">
            <w:col w:w="3639" w:space="40"/>
            <w:col w:w="8241"/>
          </w:cols>
        </w:sectPr>
      </w:pPr>
    </w:p>
    <w:p>
      <w:pPr>
        <w:spacing w:line="240" w:lineRule="auto"/>
        <w:ind w:left="4170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233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75685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8565" h="10704830">
                              <a:moveTo>
                                <a:pt x="7568183" y="10704576"/>
                              </a:moveTo>
                              <a:lnTo>
                                <a:pt x="0" y="10704576"/>
                              </a:lnTo>
                              <a:lnTo>
                                <a:pt x="0" y="0"/>
                              </a:lnTo>
                              <a:lnTo>
                                <a:pt x="7568183" y="0"/>
                              </a:lnTo>
                              <a:lnTo>
                                <a:pt x="7568183" y="10704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EC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5pt;width:595.919988pt;height:842.880013pt;mso-position-horizontal-relative:page;mso-position-vertical-relative:page;z-index:-15793152" id="docshape13" filled="true" fillcolor="#f7ece2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238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2444849" y="0"/>
                            <a:ext cx="952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704830">
                                <a:moveTo>
                                  <a:pt x="0" y="0"/>
                                </a:moveTo>
                                <a:lnTo>
                                  <a:pt x="9513" y="0"/>
                                </a:lnTo>
                                <a:lnTo>
                                  <a:pt x="9513" y="10704576"/>
                                </a:lnTo>
                                <a:lnTo>
                                  <a:pt x="0" y="107045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323849"/>
                            <a:ext cx="2457450" cy="133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1333500">
                                <a:moveTo>
                                  <a:pt x="2457449" y="1333499"/>
                                </a:moveTo>
                                <a:lnTo>
                                  <a:pt x="0" y="133349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1333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C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447924" y="323849"/>
                            <a:ext cx="9525" cy="133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333500">
                                <a:moveTo>
                                  <a:pt x="9524" y="1333499"/>
                                </a:moveTo>
                                <a:lnTo>
                                  <a:pt x="0" y="13334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1333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457449" y="323849"/>
                            <a:ext cx="5111115" cy="133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1115" h="1333500">
                                <a:moveTo>
                                  <a:pt x="5110733" y="1333499"/>
                                </a:moveTo>
                                <a:lnTo>
                                  <a:pt x="0" y="1333499"/>
                                </a:lnTo>
                                <a:lnTo>
                                  <a:pt x="0" y="0"/>
                                </a:lnTo>
                                <a:lnTo>
                                  <a:pt x="5110733" y="0"/>
                                </a:lnTo>
                                <a:lnTo>
                                  <a:pt x="5110733" y="1333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EC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5pt;width:595.950pt;height:842.9pt;mso-position-horizontal-relative:page;mso-position-vertical-relative:page;z-index:-15792640" id="docshapegroup14" coordorigin="0,0" coordsize="11919,16858">
                <v:rect style="position:absolute;left:3850;top:0;width:15;height:16858" id="docshape15" filled="true" fillcolor="#424242" stroked="false">
                  <v:fill type="solid"/>
                </v:rect>
                <v:rect style="position:absolute;left:0;top:510;width:3870;height:2100" id="docshape16" filled="true" fillcolor="#f7ece2" stroked="false">
                  <v:fill type="solid"/>
                </v:rect>
                <v:rect style="position:absolute;left:3855;top:510;width:15;height:2100" id="docshape17" filled="true" fillcolor="#424242" stroked="false">
                  <v:fill type="solid"/>
                </v:rect>
                <v:rect style="position:absolute;left:3870;top:510;width:8049;height:2100" id="docshape18" filled="true" fillcolor="#f7ece2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4920615" cy="295275"/>
                <wp:effectExtent l="0" t="0" r="0" b="0"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4920615" cy="295275"/>
                        </a:xfrm>
                        <a:prstGeom prst="rect">
                          <a:avLst/>
                        </a:prstGeom>
                        <a:solidFill>
                          <a:srgbClr val="E69037"/>
                        </a:solidFill>
                      </wps:spPr>
                      <wps:txbx>
                        <w:txbxContent>
                          <w:p>
                            <w:pPr>
                              <w:spacing w:before="75"/>
                              <w:ind w:left="181" w:right="0" w:firstLine="0"/>
                              <w:jc w:val="left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7.45pt;height:23.25pt;mso-position-horizontal-relative:char;mso-position-vertical-relative:line" type="#_x0000_t202" id="docshape19" filled="true" fillcolor="#e69037" stroked="false">
                <w10:anchorlock/>
                <v:textbox inset="0,0,0,0">
                  <w:txbxContent>
                    <w:p>
                      <w:pPr>
                        <w:spacing w:before="75"/>
                        <w:ind w:left="181" w:right="0" w:firstLine="0"/>
                        <w:jc w:val="left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2"/>
          <w:numId w:val="1"/>
        </w:numPr>
        <w:tabs>
          <w:tab w:pos="4462" w:val="left" w:leader="none"/>
        </w:tabs>
        <w:spacing w:line="343" w:lineRule="exact" w:before="46" w:after="0"/>
        <w:ind w:left="4462" w:right="0" w:hanging="296"/>
        <w:jc w:val="left"/>
        <w:rPr>
          <w:sz w:val="20"/>
        </w:rPr>
      </w:pPr>
      <w:r>
        <w:rPr>
          <w:sz w:val="20"/>
        </w:rPr>
        <w:t>Doctor</w:t>
      </w:r>
      <w:r>
        <w:rPr>
          <w:spacing w:val="4"/>
          <w:sz w:val="20"/>
        </w:rPr>
        <w:t> </w:t>
      </w:r>
      <w:r>
        <w:rPr>
          <w:sz w:val="20"/>
        </w:rPr>
        <w:t>of</w:t>
      </w:r>
      <w:r>
        <w:rPr>
          <w:spacing w:val="4"/>
          <w:sz w:val="20"/>
        </w:rPr>
        <w:t> </w:t>
      </w:r>
      <w:r>
        <w:rPr>
          <w:sz w:val="20"/>
        </w:rPr>
        <w:t>Veterinary</w:t>
      </w:r>
      <w:r>
        <w:rPr>
          <w:spacing w:val="5"/>
          <w:sz w:val="20"/>
        </w:rPr>
        <w:t> </w:t>
      </w:r>
      <w:r>
        <w:rPr>
          <w:spacing w:val="-2"/>
          <w:sz w:val="20"/>
        </w:rPr>
        <w:t>Medicine</w:t>
      </w:r>
    </w:p>
    <w:p>
      <w:pPr>
        <w:pStyle w:val="BodyText"/>
        <w:spacing w:line="247" w:lineRule="exact"/>
        <w:ind w:left="4463"/>
      </w:pPr>
      <w:r>
        <w:rPr/>
        <w:t>Colorado</w:t>
      </w:r>
      <w:r>
        <w:rPr>
          <w:spacing w:val="1"/>
        </w:rPr>
        <w:t> </w:t>
      </w:r>
      <w:r>
        <w:rPr/>
        <w:t>State</w:t>
      </w:r>
      <w:r>
        <w:rPr>
          <w:spacing w:val="1"/>
        </w:rPr>
        <w:t> </w:t>
      </w:r>
      <w:r>
        <w:rPr/>
        <w:t>University,</w:t>
      </w:r>
      <w:r>
        <w:rPr>
          <w:spacing w:val="1"/>
        </w:rPr>
        <w:t> </w:t>
      </w:r>
      <w:r>
        <w:rPr/>
        <w:t>Fort</w:t>
      </w:r>
      <w:r>
        <w:rPr>
          <w:spacing w:val="1"/>
        </w:rPr>
        <w:t> </w:t>
      </w:r>
      <w:r>
        <w:rPr/>
        <w:t>Collins,</w:t>
      </w:r>
      <w:r>
        <w:rPr>
          <w:spacing w:val="1"/>
        </w:rPr>
        <w:t> </w:t>
      </w:r>
      <w:r>
        <w:rPr/>
        <w:t>CO</w:t>
      </w:r>
      <w:r>
        <w:rPr>
          <w:spacing w:val="1"/>
        </w:rPr>
        <w:t> </w:t>
      </w:r>
      <w:r>
        <w:rPr>
          <w:position w:val="3"/>
        </w:rPr>
        <w:t>| </w:t>
      </w:r>
      <w:r>
        <w:rPr/>
        <w:t>2016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>
          <w:spacing w:val="-4"/>
        </w:rPr>
        <w:t>2020</w:t>
      </w:r>
    </w:p>
    <w:sectPr>
      <w:pgSz w:w="11920" w:h="16860"/>
      <w:pgMar w:top="50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18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6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2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6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17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7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3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8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45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520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1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bigail.ackerma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2026-10-08T05:34:17Z</dcterms:created>
  <dcterms:modified xsi:type="dcterms:W3CDTF">2026-10-08T05:34:17Z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