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56" w:right="14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Farid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9"/>
          <w:sz w:val="74"/>
        </w:rPr>
        <w:t>Amato</w:t>
      </w:r>
    </w:p>
    <w:p>
      <w:pPr>
        <w:pStyle w:val="Heading1"/>
      </w:pPr>
      <w:r>
        <w:rPr>
          <w:color w:val="FFFFFF"/>
        </w:rPr>
        <w:t>Associate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Optometrist</w:t>
      </w:r>
    </w:p>
    <w:p>
      <w:pPr>
        <w:pStyle w:val="BodyText"/>
        <w:spacing w:line="268" w:lineRule="auto" w:before="174"/>
        <w:ind w:left="3867"/>
      </w:pPr>
      <w:r>
        <w:rPr>
          <w:color w:val="FFFFFF"/>
          <w:w w:val="105"/>
        </w:rPr>
        <w:t>Doctor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Optometry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3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examining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over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1,847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patients </w:t>
      </w:r>
      <w:r>
        <w:rPr>
          <w:color w:val="FFFFFF"/>
          <w:spacing w:val="-2"/>
          <w:w w:val="105"/>
        </w:rPr>
        <w:t>annually across mixed-age caseloads, performing comprehensive refractions, dilated </w:t>
      </w:r>
      <w:r>
        <w:rPr>
          <w:color w:val="FFFFFF"/>
          <w:w w:val="105"/>
        </w:rPr>
        <w:t>fundus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evaluations,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OCT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imaging.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Built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an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active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patient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portfolio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1"/>
          <w:w w:val="105"/>
        </w:rPr>
        <w:t> </w:t>
      </w:r>
      <w:r>
        <w:rPr>
          <w:color w:val="FFFFFF"/>
          <w:w w:val="105"/>
        </w:rPr>
        <w:t>1,130 individuals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within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14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months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by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managing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recall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schedules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coordinating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annual wellness exams.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80" w:bottom="280" w:left="708" w:right="283"/>
        </w:sectPr>
      </w:pPr>
    </w:p>
    <w:p>
      <w:pPr>
        <w:pStyle w:val="Heading2"/>
        <w:spacing w:line="280" w:lineRule="auto" w:before="220"/>
      </w:pPr>
      <w:r>
        <w:rPr>
          <w:color w:val="FFFFFF"/>
          <w:spacing w:val="-2"/>
        </w:rPr>
        <w:t>CONTACT INFORMATION</w:t>
      </w:r>
    </w:p>
    <w:p>
      <w:pPr>
        <w:spacing w:before="70"/>
        <w:ind w:left="3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45818F"/>
          <w:spacing w:val="2"/>
          <w:sz w:val="20"/>
        </w:rPr>
        <w:t>PROFESSIONAL</w:t>
      </w:r>
      <w:r>
        <w:rPr>
          <w:b/>
          <w:color w:val="45818F"/>
          <w:spacing w:val="46"/>
          <w:sz w:val="20"/>
        </w:rPr>
        <w:t> </w:t>
      </w:r>
      <w:r>
        <w:rPr>
          <w:b/>
          <w:color w:val="45818F"/>
          <w:spacing w:val="-2"/>
          <w:sz w:val="20"/>
        </w:rPr>
        <w:t>EXPERIENCE</w:t>
      </w:r>
    </w:p>
    <w:p>
      <w:pPr>
        <w:pStyle w:val="BodyText"/>
        <w:spacing w:before="176"/>
        <w:ind w:left="35"/>
      </w:pPr>
      <w:r>
        <w:rPr>
          <w:w w:val="105"/>
        </w:rPr>
        <w:t>ASSOCIATE</w:t>
      </w:r>
      <w:r>
        <w:rPr>
          <w:spacing w:val="1"/>
          <w:w w:val="105"/>
        </w:rPr>
        <w:t> </w:t>
      </w:r>
      <w:r>
        <w:rPr>
          <w:w w:val="105"/>
        </w:rPr>
        <w:t>OPTOMETRIST</w:t>
      </w:r>
      <w:r>
        <w:rPr>
          <w:spacing w:val="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3"/>
          <w:w w:val="105"/>
          <w:position w:val="2"/>
        </w:rPr>
        <w:t> </w:t>
      </w:r>
      <w:r>
        <w:rPr>
          <w:w w:val="105"/>
        </w:rPr>
        <w:t>POPO</w:t>
      </w:r>
      <w:r>
        <w:rPr>
          <w:spacing w:val="-8"/>
          <w:w w:val="105"/>
        </w:rPr>
        <w:t> </w:t>
      </w:r>
      <w:r>
        <w:rPr>
          <w:w w:val="105"/>
        </w:rPr>
        <w:t>AGIE</w:t>
      </w:r>
      <w:r>
        <w:rPr>
          <w:spacing w:val="2"/>
          <w:w w:val="105"/>
        </w:rPr>
        <w:t> </w:t>
      </w:r>
      <w:r>
        <w:rPr>
          <w:w w:val="105"/>
        </w:rPr>
        <w:t>VALLEY</w:t>
      </w:r>
      <w:r>
        <w:rPr>
          <w:spacing w:val="-1"/>
          <w:w w:val="105"/>
        </w:rPr>
        <w:t> </w:t>
      </w:r>
      <w:r>
        <w:rPr>
          <w:w w:val="105"/>
        </w:rPr>
        <w:t>EYE</w:t>
      </w:r>
      <w:r>
        <w:rPr>
          <w:spacing w:val="2"/>
          <w:w w:val="105"/>
        </w:rPr>
        <w:t> </w:t>
      </w:r>
      <w:r>
        <w:rPr>
          <w:w w:val="105"/>
        </w:rPr>
        <w:t>CARE,</w:t>
      </w:r>
      <w:r>
        <w:rPr>
          <w:spacing w:val="2"/>
          <w:w w:val="105"/>
        </w:rPr>
        <w:t> </w:t>
      </w:r>
      <w:r>
        <w:rPr>
          <w:w w:val="105"/>
        </w:rPr>
        <w:t>RIVERTON,</w:t>
      </w:r>
      <w:r>
        <w:rPr>
          <w:spacing w:val="3"/>
          <w:w w:val="105"/>
        </w:rPr>
        <w:t> </w:t>
      </w:r>
      <w:r>
        <w:rPr>
          <w:spacing w:val="-5"/>
          <w:w w:val="105"/>
        </w:rPr>
        <w:t>WY</w:t>
      </w:r>
    </w:p>
    <w:p>
      <w:pPr>
        <w:pStyle w:val="BodyText"/>
        <w:spacing w:before="16"/>
        <w:ind w:left="35"/>
      </w:pPr>
      <w:r>
        <w:rPr/>
        <w:t>2024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1504" w:space="2067"/>
            <w:col w:w="7358"/>
          </w:cols>
        </w:sectPr>
      </w:pPr>
    </w:p>
    <w:p>
      <w:pPr>
        <w:pStyle w:val="BodyText"/>
        <w:spacing w:before="198"/>
        <w:ind w:left="686"/>
      </w:pPr>
      <w:r>
        <w:rPr>
          <w:w w:val="105"/>
        </w:rPr>
        <w:t>(307)</w:t>
      </w:r>
      <w:r>
        <w:rPr>
          <w:spacing w:val="14"/>
          <w:w w:val="105"/>
        </w:rPr>
        <w:t> </w:t>
      </w:r>
      <w:r>
        <w:rPr>
          <w:w w:val="105"/>
        </w:rPr>
        <w:t>555-</w:t>
      </w:r>
      <w:r>
        <w:rPr>
          <w:spacing w:val="-4"/>
          <w:w w:val="105"/>
        </w:rPr>
        <w:t>0118</w:t>
      </w:r>
    </w:p>
    <w:p>
      <w:pPr>
        <w:pStyle w:val="BodyText"/>
        <w:spacing w:before="96"/>
      </w:pPr>
    </w:p>
    <w:p>
      <w:pPr>
        <w:pStyle w:val="BodyText"/>
        <w:spacing w:line="278" w:lineRule="auto"/>
        <w:ind w:left="686" w:right="40"/>
      </w:pPr>
      <w:hyperlink r:id="rId5">
        <w:r>
          <w:rPr>
            <w:spacing w:val="-2"/>
          </w:rPr>
          <w:t>farid.amato@example.co</w:t>
        </w:r>
      </w:hyperlink>
      <w:r>
        <w:rPr>
          <w:spacing w:val="40"/>
          <w:w w:val="105"/>
        </w:rPr>
        <w:t> </w:t>
      </w:r>
      <w:r>
        <w:rPr>
          <w:spacing w:val="-10"/>
          <w:w w:val="105"/>
        </w:rPr>
        <w:t>m</w:t>
      </w:r>
    </w:p>
    <w:p>
      <w:pPr>
        <w:pStyle w:val="BodyText"/>
        <w:spacing w:before="63"/>
      </w:pPr>
    </w:p>
    <w:p>
      <w:pPr>
        <w:pStyle w:val="BodyText"/>
        <w:ind w:left="686"/>
      </w:pPr>
      <w:r>
        <w:rPr>
          <w:w w:val="105"/>
        </w:rPr>
        <w:t>Riverton,</w:t>
      </w:r>
      <w:r>
        <w:rPr>
          <w:spacing w:val="10"/>
          <w:w w:val="105"/>
        </w:rPr>
        <w:t> </w:t>
      </w:r>
      <w:r>
        <w:rPr>
          <w:w w:val="105"/>
        </w:rPr>
        <w:t>WY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55"/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19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152"/>
        <w:rPr>
          <w:b/>
          <w:sz w:val="20"/>
        </w:rPr>
      </w:pP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1" w:after="0"/>
        <w:ind w:left="537" w:right="647" w:hanging="298"/>
        <w:jc w:val="left"/>
        <w:rPr>
          <w:sz w:val="18"/>
        </w:rPr>
      </w:pPr>
      <w:r>
        <w:rPr>
          <w:w w:val="105"/>
          <w:sz w:val="18"/>
        </w:rPr>
        <w:t>Optical Coherence Tomography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(OCT)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43" w:lineRule="exact" w:before="44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Slit</w:t>
      </w:r>
      <w:r>
        <w:rPr>
          <w:spacing w:val="8"/>
          <w:w w:val="105"/>
          <w:sz w:val="18"/>
        </w:rPr>
        <w:t> </w:t>
      </w:r>
      <w:r>
        <w:rPr>
          <w:w w:val="105"/>
          <w:sz w:val="18"/>
        </w:rPr>
        <w:t>Lamp</w:t>
      </w:r>
      <w:r>
        <w:rPr>
          <w:spacing w:val="8"/>
          <w:w w:val="105"/>
          <w:sz w:val="18"/>
        </w:rPr>
        <w:t> </w:t>
      </w:r>
      <w:r>
        <w:rPr>
          <w:spacing w:val="-2"/>
          <w:w w:val="105"/>
          <w:sz w:val="18"/>
        </w:rPr>
        <w:t>Biomicroscopy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Phoropter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Refraction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294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Visual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Field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201" w:lineRule="auto" w:before="165" w:after="0"/>
        <w:ind w:left="574" w:right="155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Examined 1,847 patients annually by conducting comprehensive refractions, dilated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fundus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evaluations,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OCT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imaging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mixed-age</w:t>
      </w:r>
      <w:r>
        <w:rPr>
          <w:spacing w:val="34"/>
          <w:w w:val="105"/>
          <w:sz w:val="18"/>
        </w:rPr>
        <w:t> </w:t>
      </w:r>
      <w:r>
        <w:rPr>
          <w:w w:val="105"/>
          <w:sz w:val="18"/>
        </w:rPr>
        <w:t>caseload</w:t>
      </w:r>
    </w:p>
    <w:p>
      <w:pPr>
        <w:pStyle w:val="BodyText"/>
        <w:spacing w:before="25"/>
        <w:ind w:left="574"/>
      </w:pPr>
      <w:r>
        <w:rPr>
          <w:w w:val="105"/>
        </w:rPr>
        <w:t>in</w:t>
      </w:r>
      <w:r>
        <w:rPr>
          <w:spacing w:val="17"/>
          <w:w w:val="105"/>
        </w:rPr>
        <w:t> </w:t>
      </w:r>
      <w:r>
        <w:rPr>
          <w:w w:val="105"/>
        </w:rPr>
        <w:t>a</w:t>
      </w:r>
      <w:r>
        <w:rPr>
          <w:spacing w:val="17"/>
          <w:w w:val="105"/>
        </w:rPr>
        <w:t> </w:t>
      </w:r>
      <w:r>
        <w:rPr>
          <w:w w:val="105"/>
        </w:rPr>
        <w:t>solo-provider</w:t>
      </w:r>
      <w:r>
        <w:rPr>
          <w:spacing w:val="17"/>
          <w:w w:val="105"/>
        </w:rPr>
        <w:t> </w:t>
      </w:r>
      <w:r>
        <w:rPr>
          <w:w w:val="105"/>
        </w:rPr>
        <w:t>satellite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office.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86" w:after="0"/>
        <w:ind w:left="574" w:right="626" w:hanging="298"/>
        <w:jc w:val="left"/>
        <w:rPr>
          <w:sz w:val="18"/>
        </w:rPr>
      </w:pPr>
      <w:r>
        <w:rPr>
          <w:w w:val="105"/>
          <w:sz w:val="18"/>
        </w:rPr>
        <w:t>Built an active patient portfolio of 1,130 individuals within 14 months by managing recall schedules and coordinating annual wellness exams.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201" w:lineRule="auto" w:before="83" w:after="0"/>
        <w:ind w:left="574" w:right="175" w:hanging="298"/>
        <w:jc w:val="left"/>
        <w:rPr>
          <w:sz w:val="18"/>
        </w:rPr>
      </w:pPr>
      <w:r>
        <w:rPr>
          <w:w w:val="105"/>
          <w:sz w:val="18"/>
        </w:rPr>
        <w:t>Provide patients undergoing cataract and laser vision correction procedures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pre-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post-operative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care,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slit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lamp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assessments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</w:p>
    <w:p>
      <w:pPr>
        <w:pStyle w:val="BodyText"/>
        <w:spacing w:before="25"/>
        <w:ind w:left="574"/>
      </w:pPr>
      <w:r>
        <w:rPr>
          <w:w w:val="105"/>
        </w:rPr>
        <w:t>tonometer</w:t>
      </w:r>
      <w:r>
        <w:rPr>
          <w:spacing w:val="13"/>
          <w:w w:val="105"/>
        </w:rPr>
        <w:t> </w:t>
      </w:r>
      <w:r>
        <w:rPr>
          <w:w w:val="105"/>
        </w:rPr>
        <w:t>readings</w:t>
      </w:r>
      <w:r>
        <w:rPr>
          <w:spacing w:val="13"/>
          <w:w w:val="105"/>
        </w:rPr>
        <w:t> </w:t>
      </w:r>
      <w:r>
        <w:rPr>
          <w:w w:val="105"/>
        </w:rPr>
        <w:t>at</w:t>
      </w:r>
      <w:r>
        <w:rPr>
          <w:spacing w:val="14"/>
          <w:w w:val="105"/>
        </w:rPr>
        <w:t> </w:t>
      </w:r>
      <w:r>
        <w:rPr>
          <w:w w:val="105"/>
        </w:rPr>
        <w:t>1-day,</w:t>
      </w:r>
      <w:r>
        <w:rPr>
          <w:spacing w:val="13"/>
          <w:w w:val="105"/>
        </w:rPr>
        <w:t> </w:t>
      </w:r>
      <w:r>
        <w:rPr>
          <w:w w:val="105"/>
        </w:rPr>
        <w:t>1-week,</w:t>
      </w:r>
      <w:r>
        <w:rPr>
          <w:spacing w:val="14"/>
          <w:w w:val="105"/>
        </w:rPr>
        <w:t> </w:t>
      </w:r>
      <w:r>
        <w:rPr>
          <w:w w:val="105"/>
        </w:rPr>
        <w:t>and</w:t>
      </w:r>
      <w:r>
        <w:rPr>
          <w:spacing w:val="13"/>
          <w:w w:val="105"/>
        </w:rPr>
        <w:t> </w:t>
      </w:r>
      <w:r>
        <w:rPr>
          <w:w w:val="105"/>
        </w:rPr>
        <w:t>4-week</w:t>
      </w:r>
      <w:r>
        <w:rPr>
          <w:spacing w:val="14"/>
          <w:w w:val="105"/>
        </w:rPr>
        <w:t> </w:t>
      </w:r>
      <w:r>
        <w:rPr>
          <w:spacing w:val="-2"/>
          <w:w w:val="105"/>
        </w:rPr>
        <w:t>intervals.</w:t>
      </w:r>
    </w:p>
    <w:p>
      <w:pPr>
        <w:pStyle w:val="ListParagraph"/>
        <w:numPr>
          <w:ilvl w:val="0"/>
          <w:numId w:val="1"/>
        </w:numPr>
        <w:tabs>
          <w:tab w:pos="572" w:val="left" w:leader="none"/>
          <w:tab w:pos="574" w:val="left" w:leader="none"/>
        </w:tabs>
        <w:spacing w:line="189" w:lineRule="auto" w:before="87" w:after="0"/>
        <w:ind w:left="574" w:right="872" w:hanging="298"/>
        <w:jc w:val="left"/>
        <w:rPr>
          <w:sz w:val="18"/>
        </w:rPr>
      </w:pPr>
      <w:r>
        <w:rPr>
          <w:w w:val="105"/>
          <w:sz w:val="18"/>
        </w:rPr>
        <w:t>Reduced average exam time from 28 to 21 minutes per patient by sequencing autorefractor and visual field analyzer testing before the</w:t>
      </w:r>
    </w:p>
    <w:p>
      <w:pPr>
        <w:pStyle w:val="BodyText"/>
        <w:spacing w:before="26"/>
        <w:ind w:left="574"/>
      </w:pPr>
      <w:r>
        <w:rPr>
          <w:w w:val="105"/>
        </w:rPr>
        <w:t>provider</w:t>
      </w:r>
      <w:r>
        <w:rPr>
          <w:spacing w:val="31"/>
          <w:w w:val="105"/>
        </w:rPr>
        <w:t> </w:t>
      </w:r>
      <w:r>
        <w:rPr>
          <w:spacing w:val="-2"/>
          <w:w w:val="105"/>
        </w:rPr>
        <w:t>encounter.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4"/>
      </w:pPr>
    </w:p>
    <w:p>
      <w:pPr>
        <w:pStyle w:val="BodyText"/>
        <w:spacing w:line="259" w:lineRule="auto"/>
        <w:ind w:left="35" w:right="165"/>
      </w:pPr>
      <w:r>
        <w:rPr>
          <w:w w:val="105"/>
        </w:rPr>
        <w:t>OPTOMETRIC RESIDENT </w:t>
      </w:r>
      <w:r>
        <w:rPr>
          <w:w w:val="105"/>
          <w:position w:val="2"/>
        </w:rPr>
        <w:t>| </w:t>
      </w:r>
      <w:r>
        <w:rPr>
          <w:w w:val="105"/>
        </w:rPr>
        <w:t>BIGHORN BASIN FAMILY VISION, THERMOPOLIS, </w:t>
      </w:r>
      <w:r>
        <w:rPr>
          <w:spacing w:val="-6"/>
          <w:w w:val="105"/>
        </w:rPr>
        <w:t>WY</w:t>
      </w:r>
    </w:p>
    <w:p>
      <w:pPr>
        <w:pStyle w:val="BodyText"/>
        <w:spacing w:line="198" w:lineRule="exact" w:before="1"/>
        <w:ind w:left="35"/>
      </w:pPr>
      <w:r>
        <w:rPr/>
        <w:t>2023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2024</w:t>
      </w:r>
    </w:p>
    <w:p>
      <w:pPr>
        <w:pStyle w:val="BodyText"/>
        <w:spacing w:after="0" w:line="198" w:lineRule="exact"/>
        <w:sectPr>
          <w:type w:val="continuous"/>
          <w:pgSz w:w="11920" w:h="16860"/>
          <w:pgMar w:top="880" w:bottom="280" w:left="708" w:right="283"/>
          <w:cols w:num="2" w:equalWidth="0">
            <w:col w:w="2834" w:space="737"/>
            <w:col w:w="7358"/>
          </w:cols>
        </w:sectPr>
      </w:pP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43" w:lineRule="exact" w:before="0" w:after="0"/>
        <w:ind w:left="536" w:right="0" w:hanging="296"/>
        <w:jc w:val="left"/>
        <w:rPr>
          <w:sz w:val="18"/>
        </w:rPr>
      </w:pPr>
      <w:r>
        <w:rPr>
          <w:spacing w:val="-2"/>
          <w:sz w:val="18"/>
        </w:rPr>
        <w:t>Tonometry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sz w:val="18"/>
        </w:rPr>
        <w:t>EMR</w:t>
      </w:r>
      <w:r>
        <w:rPr>
          <w:spacing w:val="5"/>
          <w:sz w:val="18"/>
        </w:rPr>
        <w:t> </w:t>
      </w:r>
      <w:r>
        <w:rPr>
          <w:spacing w:val="-2"/>
          <w:sz w:val="18"/>
        </w:rPr>
        <w:t>Documentation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15" w:lineRule="exact" w:before="0" w:after="0"/>
        <w:ind w:left="536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Retinoscopy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sz w:val="18"/>
        </w:rPr>
        <w:t>HIPAA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23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Ocular</w:t>
      </w:r>
      <w:r>
        <w:rPr>
          <w:spacing w:val="16"/>
          <w:w w:val="105"/>
          <w:sz w:val="18"/>
        </w:rPr>
        <w:t> </w:t>
      </w:r>
      <w:r>
        <w:rPr>
          <w:w w:val="105"/>
          <w:sz w:val="18"/>
        </w:rPr>
        <w:t>Disease</w:t>
      </w:r>
      <w:r>
        <w:rPr>
          <w:spacing w:val="16"/>
          <w:w w:val="105"/>
          <w:sz w:val="18"/>
        </w:rPr>
        <w:t> </w:t>
      </w:r>
      <w:r>
        <w:rPr>
          <w:spacing w:val="-2"/>
          <w:w w:val="105"/>
          <w:sz w:val="18"/>
        </w:rPr>
        <w:t>Diagnosis</w:t>
      </w:r>
    </w:p>
    <w:p>
      <w:pPr>
        <w:pStyle w:val="ListParagraph"/>
        <w:numPr>
          <w:ilvl w:val="0"/>
          <w:numId w:val="1"/>
        </w:numPr>
        <w:tabs>
          <w:tab w:pos="536" w:val="left" w:leader="none"/>
        </w:tabs>
        <w:spacing w:line="336" w:lineRule="exact" w:before="0" w:after="0"/>
        <w:ind w:left="536" w:right="0" w:hanging="296"/>
        <w:jc w:val="left"/>
        <w:rPr>
          <w:sz w:val="18"/>
        </w:rPr>
      </w:pPr>
      <w:r>
        <w:rPr>
          <w:w w:val="105"/>
          <w:sz w:val="18"/>
        </w:rPr>
        <w:t>Contact</w:t>
      </w:r>
      <w:r>
        <w:rPr>
          <w:spacing w:val="14"/>
          <w:w w:val="105"/>
          <w:sz w:val="18"/>
        </w:rPr>
        <w:t> </w:t>
      </w:r>
      <w:r>
        <w:rPr>
          <w:w w:val="105"/>
          <w:sz w:val="18"/>
        </w:rPr>
        <w:t>Lens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Evaluation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201" w:after="0"/>
        <w:ind w:left="537" w:right="369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Examined 1,540 patients over a 12-month residency rotation, performing phoropter-based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subjective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refractions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slit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lamp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biomicroscopy</w:t>
      </w:r>
      <w:r>
        <w:rPr>
          <w:spacing w:val="35"/>
          <w:w w:val="105"/>
          <w:sz w:val="18"/>
        </w:rPr>
        <w:t> </w:t>
      </w:r>
      <w:r>
        <w:rPr>
          <w:w w:val="105"/>
          <w:sz w:val="18"/>
        </w:rPr>
        <w:t>under</w:t>
      </w:r>
    </w:p>
    <w:p>
      <w:pPr>
        <w:pStyle w:val="BodyText"/>
        <w:spacing w:before="26"/>
        <w:ind w:left="537"/>
      </w:pPr>
      <w:r>
        <w:rPr>
          <w:w w:val="105"/>
        </w:rPr>
        <w:t>attending</w:t>
      </w:r>
      <w:r>
        <w:rPr>
          <w:spacing w:val="35"/>
          <w:w w:val="105"/>
        </w:rPr>
        <w:t> </w:t>
      </w:r>
      <w:r>
        <w:rPr>
          <w:spacing w:val="-2"/>
          <w:w w:val="105"/>
        </w:rPr>
        <w:t>supervision.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201" w:lineRule="auto" w:before="75" w:after="0"/>
        <w:ind w:left="537" w:right="134" w:hanging="298"/>
        <w:jc w:val="left"/>
        <w:rPr>
          <w:sz w:val="18"/>
        </w:rPr>
      </w:pPr>
      <w:r>
        <w:rPr>
          <w:w w:val="105"/>
          <w:sz w:val="18"/>
        </w:rPr>
        <w:t>Maintained an active patient panel of 680 individuals by tracking follow-up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intervals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documenting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encounters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EMR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system</w:t>
      </w:r>
      <w:r>
        <w:rPr>
          <w:spacing w:val="12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13"/>
          <w:w w:val="105"/>
          <w:sz w:val="18"/>
        </w:rPr>
        <w:t> </w:t>
      </w:r>
      <w:r>
        <w:rPr>
          <w:w w:val="105"/>
          <w:sz w:val="18"/>
        </w:rPr>
        <w:t>minutes</w:t>
      </w:r>
      <w:r>
        <w:rPr>
          <w:spacing w:val="13"/>
          <w:w w:val="105"/>
          <w:sz w:val="18"/>
        </w:rPr>
        <w:t> </w:t>
      </w:r>
      <w:r>
        <w:rPr>
          <w:spacing w:val="-5"/>
          <w:w w:val="105"/>
          <w:sz w:val="18"/>
        </w:rPr>
        <w:t>of</w:t>
      </w:r>
    </w:p>
    <w:p>
      <w:pPr>
        <w:pStyle w:val="BodyText"/>
        <w:spacing w:before="25"/>
        <w:ind w:left="537"/>
      </w:pPr>
      <w:r>
        <w:rPr>
          <w:w w:val="105"/>
        </w:rPr>
        <w:t>each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visit.</w:t>
      </w:r>
    </w:p>
    <w:p>
      <w:pPr>
        <w:pStyle w:val="ListParagraph"/>
        <w:numPr>
          <w:ilvl w:val="0"/>
          <w:numId w:val="1"/>
        </w:numPr>
        <w:tabs>
          <w:tab w:pos="535" w:val="left" w:leader="none"/>
          <w:tab w:pos="537" w:val="left" w:leader="none"/>
        </w:tabs>
        <w:spacing w:line="189" w:lineRule="auto" w:before="87" w:after="0"/>
        <w:ind w:left="537" w:right="735" w:hanging="298"/>
        <w:jc w:val="left"/>
        <w:rPr>
          <w:sz w:val="18"/>
        </w:rPr>
      </w:pPr>
      <w:r>
        <w:rPr>
          <w:w w:val="105"/>
          <w:sz w:val="18"/>
        </w:rPr>
        <w:t>Decreased average exam time from 26 to 19 minutes per patient by reorganizing the pre-testing room layout and standardizing instrument</w:t>
      </w:r>
    </w:p>
    <w:p>
      <w:pPr>
        <w:pStyle w:val="BodyText"/>
        <w:spacing w:before="26"/>
        <w:ind w:left="537"/>
      </w:pPr>
      <w:r>
        <w:rPr>
          <w:w w:val="105"/>
        </w:rPr>
        <w:t>handoff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procedures.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708" w:right="283"/>
          <w:cols w:num="2" w:equalWidth="0">
            <w:col w:w="2823" w:space="786"/>
            <w:col w:w="7320"/>
          </w:cols>
        </w:sectPr>
      </w:pPr>
    </w:p>
    <w:p>
      <w:pPr>
        <w:pStyle w:val="Heading2"/>
        <w:spacing w:before="224"/>
        <w:ind w:left="360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012" y="2590799"/>
                            <a:ext cx="240030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8115300">
                                <a:moveTo>
                                  <a:pt x="2400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8115287"/>
                                </a:lnTo>
                                <a:lnTo>
                                  <a:pt x="2400300" y="8115287"/>
                                </a:lnTo>
                                <a:lnTo>
                                  <a:pt x="2400300" y="9525"/>
                                </a:lnTo>
                                <a:lnTo>
                                  <a:pt x="240030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856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5038725">
                                <a:moveTo>
                                  <a:pt x="2000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90800"/>
                                </a:lnTo>
                                <a:lnTo>
                                  <a:pt x="200012" y="2590800"/>
                                </a:lnTo>
                                <a:lnTo>
                                  <a:pt x="200012" y="0"/>
                                </a:lnTo>
                                <a:close/>
                              </a:path>
                              <a:path w="7568565" h="5038725">
                                <a:moveTo>
                                  <a:pt x="1600187" y="4872025"/>
                                </a:moveTo>
                                <a:lnTo>
                                  <a:pt x="1595196" y="4831524"/>
                                </a:lnTo>
                                <a:lnTo>
                                  <a:pt x="1580515" y="4793450"/>
                                </a:lnTo>
                                <a:lnTo>
                                  <a:pt x="1557020" y="4760099"/>
                                </a:lnTo>
                                <a:lnTo>
                                  <a:pt x="1526108" y="4733429"/>
                                </a:lnTo>
                                <a:lnTo>
                                  <a:pt x="1489646" y="4715078"/>
                                </a:lnTo>
                                <a:lnTo>
                                  <a:pt x="1449844" y="4706150"/>
                                </a:lnTo>
                                <a:lnTo>
                                  <a:pt x="1433499" y="4705337"/>
                                </a:lnTo>
                                <a:lnTo>
                                  <a:pt x="0" y="4705337"/>
                                </a:lnTo>
                                <a:lnTo>
                                  <a:pt x="0" y="5038712"/>
                                </a:lnTo>
                                <a:lnTo>
                                  <a:pt x="1433499" y="5038712"/>
                                </a:lnTo>
                                <a:lnTo>
                                  <a:pt x="1474012" y="5033721"/>
                                </a:lnTo>
                                <a:lnTo>
                                  <a:pt x="1512087" y="5019040"/>
                                </a:lnTo>
                                <a:lnTo>
                                  <a:pt x="1545437" y="4995545"/>
                                </a:lnTo>
                                <a:lnTo>
                                  <a:pt x="1572107" y="4964633"/>
                                </a:lnTo>
                                <a:lnTo>
                                  <a:pt x="1590459" y="4928171"/>
                                </a:lnTo>
                                <a:lnTo>
                                  <a:pt x="1599387" y="4888369"/>
                                </a:lnTo>
                                <a:lnTo>
                                  <a:pt x="1600187" y="4872025"/>
                                </a:lnTo>
                                <a:close/>
                              </a:path>
                              <a:path w="7568565" h="5038725">
                                <a:moveTo>
                                  <a:pt x="2352662" y="3082899"/>
                                </a:moveTo>
                                <a:lnTo>
                                  <a:pt x="2346452" y="3035668"/>
                                </a:lnTo>
                                <a:lnTo>
                                  <a:pt x="2331135" y="2990558"/>
                                </a:lnTo>
                                <a:lnTo>
                                  <a:pt x="2307310" y="2949295"/>
                                </a:lnTo>
                                <a:lnTo>
                                  <a:pt x="2275903" y="2913481"/>
                                </a:lnTo>
                                <a:lnTo>
                                  <a:pt x="2238108" y="2884487"/>
                                </a:lnTo>
                                <a:lnTo>
                                  <a:pt x="2195385" y="2863418"/>
                                </a:lnTo>
                                <a:lnTo>
                                  <a:pt x="2149360" y="2851086"/>
                                </a:lnTo>
                                <a:lnTo>
                                  <a:pt x="0" y="2847962"/>
                                </a:lnTo>
                                <a:lnTo>
                                  <a:pt x="0" y="3333737"/>
                                </a:lnTo>
                                <a:lnTo>
                                  <a:pt x="2117737" y="3333737"/>
                                </a:lnTo>
                                <a:lnTo>
                                  <a:pt x="2125675" y="3333356"/>
                                </a:lnTo>
                                <a:lnTo>
                                  <a:pt x="2164969" y="3327527"/>
                                </a:lnTo>
                                <a:lnTo>
                                  <a:pt x="2210079" y="3312210"/>
                                </a:lnTo>
                                <a:lnTo>
                                  <a:pt x="2251341" y="3288385"/>
                                </a:lnTo>
                                <a:lnTo>
                                  <a:pt x="2287155" y="3256978"/>
                                </a:lnTo>
                                <a:lnTo>
                                  <a:pt x="2316149" y="3219183"/>
                                </a:lnTo>
                                <a:lnTo>
                                  <a:pt x="2337219" y="3176460"/>
                                </a:lnTo>
                                <a:lnTo>
                                  <a:pt x="2349550" y="3130435"/>
                                </a:lnTo>
                                <a:lnTo>
                                  <a:pt x="2352662" y="3098812"/>
                                </a:lnTo>
                                <a:lnTo>
                                  <a:pt x="2352662" y="3082899"/>
                                </a:lnTo>
                                <a:close/>
                              </a:path>
                              <a:path w="7568565" h="5038725">
                                <a:moveTo>
                                  <a:pt x="7568171" y="0"/>
                                </a:moveTo>
                                <a:lnTo>
                                  <a:pt x="2600312" y="0"/>
                                </a:lnTo>
                                <a:lnTo>
                                  <a:pt x="2600312" y="2590800"/>
                                </a:lnTo>
                                <a:lnTo>
                                  <a:pt x="7568171" y="2590800"/>
                                </a:lnTo>
                                <a:lnTo>
                                  <a:pt x="7568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81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0024" y="0"/>
                            <a:ext cx="2400300" cy="2590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0300" h="2590800">
                                <a:moveTo>
                                  <a:pt x="2400299" y="2590799"/>
                                </a:moveTo>
                                <a:lnTo>
                                  <a:pt x="0" y="2590799"/>
                                </a:lnTo>
                                <a:lnTo>
                                  <a:pt x="0" y="0"/>
                                </a:lnTo>
                                <a:lnTo>
                                  <a:pt x="2400299" y="0"/>
                                </a:lnTo>
                                <a:lnTo>
                                  <a:pt x="2400299" y="25907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3505200"/>
                            <a:ext cx="165347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6" y="3886200"/>
                            <a:ext cx="165344" cy="1904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075" y="4295774"/>
                            <a:ext cx="16533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3143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8304" id="docshapegroup1" coordorigin="0,0" coordsize="11919,16860">
                <v:shape style="position:absolute;left:314;top:4080;width:3780;height:12780" id="docshape2" coordorigin="315,4080" coordsize="3780,12780" path="m4095,4080l315,4080,315,4095,315,16860,4095,16860,4095,4095,4095,4080xe" filled="true" fillcolor="#fae4cc" stroked="false">
                  <v:path arrowok="t"/>
                  <v:fill type="solid"/>
                </v:shape>
                <v:shape style="position:absolute;left:0;top:0;width:11919;height:7935" id="docshape3" coordorigin="0,0" coordsize="11919,7935" path="m315,0l0,0,0,4080,315,4080,315,0xm2520,7672l2520,7660,2519,7647,2517,7634,2515,7621,2512,7609,2509,7596,2505,7584,2500,7572,2495,7560,2489,7549,2483,7538,2476,7527,2468,7516,2460,7506,2452,7496,2443,7487,2434,7478,2424,7470,2414,7462,2403,7454,2392,7447,2381,7441,2370,7435,2358,7430,2346,7425,2334,7421,2321,7418,2309,7415,2296,7413,2283,7411,2270,7410,2257,7410,0,7410,0,7935,2257,7935,2270,7935,2283,7934,2296,7932,2309,7930,2321,7927,2334,7924,2346,7920,2358,7915,2370,7910,2381,7904,2392,7898,2403,7891,2414,7883,2424,7875,2434,7867,2443,7858,2452,7849,2460,7839,2468,7829,2476,7818,2483,7807,2489,7796,2495,7785,2500,7773,2505,7761,2509,7749,2512,7736,2515,7724,2517,7711,2519,7698,2520,7685,2520,7672xm3705,4855l3704,4842,3702,4818,3700,4805,3695,4781,3692,4768,3685,4744,3681,4733,3671,4710,3666,4698,3654,4676,3647,4665,3634,4645,3626,4635,3610,4615,3602,4606,3584,4588,3575,4580,3555,4564,3545,4556,3525,4543,3514,4536,3492,4524,3480,4519,3457,4509,3446,4505,3422,4498,3409,4495,3385,4490,3372,4488,3348,4486,3335,4485,0,4485,0,5250,3335,5250,3348,5249,3372,5247,3385,5245,3409,5240,3422,5237,3446,5230,3457,5226,3480,5216,3492,5211,3514,5199,3525,5192,3545,5179,3555,5171,3575,5155,3584,5147,3602,5129,3610,5120,3626,5100,3634,5090,3647,5070,3654,5059,3666,5037,3671,5025,3681,5002,3685,4991,3692,4967,3695,4954,3700,4930,3702,4917,3704,4893,3705,4880,3705,4855xm11918,0l4095,0,4095,4080,11918,4080,11918,0xe" filled="true" fillcolor="#45818f" stroked="false">
                  <v:path arrowok="t"/>
                  <v:fill type="solid"/>
                </v:shape>
                <v:rect style="position:absolute;left:315;top:0;width:3780;height:4080" id="docshape4" filled="true" fillcolor="#fae4cc" stroked="false">
                  <v:fill type="solid"/>
                </v:rect>
                <v:shape style="position:absolute;left:945;top:5520;width:261;height:255" type="#_x0000_t75" id="docshape5" stroked="false">
                  <v:imagedata r:id="rId6" o:title=""/>
                </v:shape>
                <v:shape style="position:absolute;left:945;top:6120;width:261;height:300" type="#_x0000_t75" id="docshape6" stroked="false">
                  <v:imagedata r:id="rId7" o:title=""/>
                </v:shape>
                <v:shape style="position:absolute;left:945;top:6765;width:261;height:255" type="#_x0000_t75" id="docshape7" stroked="false">
                  <v:imagedata r:id="rId8" o:title=""/>
                </v:shape>
                <v:shape style="position:absolute;left:660;top:495;width:3090;height:3090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color w:val="45818F"/>
          <w:spacing w:val="-2"/>
        </w:rPr>
        <w:t>EDUCATION</w:t>
      </w:r>
    </w:p>
    <w:p>
      <w:pPr>
        <w:pStyle w:val="ListParagraph"/>
        <w:numPr>
          <w:ilvl w:val="1"/>
          <w:numId w:val="1"/>
        </w:numPr>
        <w:tabs>
          <w:tab w:pos="3902" w:val="left" w:leader="none"/>
          <w:tab w:pos="3904" w:val="left" w:leader="none"/>
        </w:tabs>
        <w:spacing w:line="192" w:lineRule="auto" w:before="155" w:after="0"/>
        <w:ind w:left="3904" w:right="510" w:hanging="298"/>
        <w:jc w:val="left"/>
        <w:rPr>
          <w:sz w:val="18"/>
        </w:rPr>
      </w:pPr>
      <w:r>
        <w:rPr>
          <w:w w:val="105"/>
          <w:sz w:val="18"/>
        </w:rPr>
        <w:t>Doctor of Optometry, University of the Incarnate Word Rosenberg School of Optometry, San Antonio, TX </w:t>
      </w:r>
      <w:r>
        <w:rPr>
          <w:w w:val="105"/>
          <w:position w:val="2"/>
          <w:sz w:val="18"/>
        </w:rPr>
        <w:t>| </w:t>
      </w:r>
      <w:r>
        <w:rPr>
          <w:w w:val="105"/>
          <w:sz w:val="18"/>
        </w:rPr>
        <w:t>2019 – 2023</w:t>
      </w:r>
    </w:p>
    <w:sectPr>
      <w:type w:val="continuous"/>
      <w:pgSz w:w="11920" w:h="16860"/>
      <w:pgMar w:top="880" w:bottom="280" w:left="708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3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904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81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63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4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26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0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8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7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3856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farid.amato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2026-10-08T12:43:27Z</dcterms:created>
  <dcterms:modified xsi:type="dcterms:W3CDTF">2026-10-08T12:43:27Z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