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701" w:right="0" w:firstLine="0"/>
        <w:jc w:val="left"/>
        <w:rPr>
          <w:sz w:val="74"/>
        </w:rPr>
      </w:pPr>
      <w:r>
        <w:rPr>
          <w:b/>
          <w:color w:val="134E5C"/>
          <w:sz w:val="74"/>
        </w:rPr>
        <w:t>Sade</w:t>
      </w:r>
      <w:r>
        <w:rPr>
          <w:b/>
          <w:color w:val="134E5C"/>
          <w:spacing w:val="-2"/>
          <w:sz w:val="74"/>
        </w:rPr>
        <w:t> </w:t>
      </w:r>
      <w:r>
        <w:rPr>
          <w:color w:val="134E5C"/>
          <w:spacing w:val="-2"/>
          <w:sz w:val="74"/>
        </w:rPr>
        <w:t>Sinclair</w:t>
      </w:r>
    </w:p>
    <w:p>
      <w:pPr>
        <w:pStyle w:val="Heading2"/>
      </w:pPr>
      <w:r>
        <w:rPr/>
        <w:t>Financial</w:t>
      </w:r>
      <w:r>
        <w:rPr>
          <w:spacing w:val="-12"/>
        </w:rPr>
        <w:t> </w:t>
      </w:r>
      <w:r>
        <w:rPr>
          <w:spacing w:val="-2"/>
        </w:rPr>
        <w:t>Analyst</w:t>
      </w:r>
    </w:p>
    <w:p>
      <w:pPr>
        <w:pStyle w:val="BodyText"/>
        <w:spacing w:line="261" w:lineRule="auto" w:before="234"/>
        <w:ind w:left="4699" w:right="777"/>
        <w:jc w:val="center"/>
      </w:pPr>
      <w:r>
        <w:rPr>
          <w:w w:val="105"/>
        </w:rPr>
        <w:t>Financial analyst with 6 years of experience in variance analysis, capital </w:t>
      </w:r>
      <w:r>
        <w:rPr>
          <w:spacing w:val="-2"/>
          <w:w w:val="105"/>
        </w:rPr>
        <w:t>project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tracking,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ﬁxed-asset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accounting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using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SAP,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Excel,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Power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BI,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SQL.</w:t>
      </w:r>
      <w:r>
        <w:rPr>
          <w:spacing w:val="-4"/>
          <w:w w:val="105"/>
        </w:rPr>
        <w:t> </w:t>
      </w:r>
      <w:r>
        <w:rPr>
          <w:w w:val="105"/>
        </w:rPr>
        <w:t>Tracked</w:t>
      </w:r>
      <w:r>
        <w:rPr>
          <w:spacing w:val="-1"/>
          <w:w w:val="105"/>
        </w:rPr>
        <w:t> </w:t>
      </w:r>
      <w:r>
        <w:rPr>
          <w:w w:val="105"/>
        </w:rPr>
        <w:t>11</w:t>
      </w:r>
      <w:r>
        <w:rPr>
          <w:spacing w:val="-1"/>
          <w:w w:val="105"/>
        </w:rPr>
        <w:t> </w:t>
      </w:r>
      <w:r>
        <w:rPr>
          <w:w w:val="105"/>
        </w:rPr>
        <w:t>capital</w:t>
      </w:r>
      <w:r>
        <w:rPr>
          <w:spacing w:val="-1"/>
          <w:w w:val="105"/>
        </w:rPr>
        <w:t> </w:t>
      </w:r>
      <w:r>
        <w:rPr>
          <w:w w:val="105"/>
        </w:rPr>
        <w:t>projects</w:t>
      </w:r>
      <w:r>
        <w:rPr>
          <w:spacing w:val="-1"/>
          <w:w w:val="105"/>
        </w:rPr>
        <w:t> </w:t>
      </w:r>
      <w:r>
        <w:rPr>
          <w:w w:val="105"/>
        </w:rPr>
        <w:t>valued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$10.7M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aggregate</w:t>
      </w:r>
      <w:r>
        <w:rPr>
          <w:spacing w:val="-1"/>
          <w:w w:val="105"/>
        </w:rPr>
        <w:t> </w:t>
      </w:r>
      <w:r>
        <w:rPr>
          <w:w w:val="105"/>
        </w:rPr>
        <w:t>while maintaining depreciation schedules across multiple asset classes and condensing monthly variance reporting cycles by half.</w:t>
      </w: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178772</wp:posOffset>
                </wp:positionV>
                <wp:extent cx="4615815" cy="2857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14.076569pt;width:363.45pt;height:22.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31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314700">
                                <a:moveTo>
                                  <a:pt x="47625" y="3287534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34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34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887497"/>
                                </a:moveTo>
                                <a:lnTo>
                                  <a:pt x="27165" y="2867025"/>
                                </a:lnTo>
                                <a:lnTo>
                                  <a:pt x="20472" y="2867025"/>
                                </a:lnTo>
                                <a:lnTo>
                                  <a:pt x="0" y="2887497"/>
                                </a:lnTo>
                                <a:lnTo>
                                  <a:pt x="0" y="2891066"/>
                                </a:lnTo>
                                <a:lnTo>
                                  <a:pt x="0" y="2894190"/>
                                </a:lnTo>
                                <a:lnTo>
                                  <a:pt x="20472" y="2914650"/>
                                </a:lnTo>
                                <a:lnTo>
                                  <a:pt x="27165" y="2914650"/>
                                </a:lnTo>
                                <a:lnTo>
                                  <a:pt x="47625" y="2894190"/>
                                </a:lnTo>
                                <a:lnTo>
                                  <a:pt x="47625" y="288749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277897"/>
                                </a:moveTo>
                                <a:lnTo>
                                  <a:pt x="27165" y="2257425"/>
                                </a:lnTo>
                                <a:lnTo>
                                  <a:pt x="20472" y="2257425"/>
                                </a:lnTo>
                                <a:lnTo>
                                  <a:pt x="0" y="2277897"/>
                                </a:lnTo>
                                <a:lnTo>
                                  <a:pt x="0" y="2281466"/>
                                </a:lnTo>
                                <a:lnTo>
                                  <a:pt x="0" y="2284590"/>
                                </a:lnTo>
                                <a:lnTo>
                                  <a:pt x="20472" y="2305050"/>
                                </a:lnTo>
                                <a:lnTo>
                                  <a:pt x="27165" y="2305050"/>
                                </a:lnTo>
                                <a:lnTo>
                                  <a:pt x="47625" y="2284590"/>
                                </a:lnTo>
                                <a:lnTo>
                                  <a:pt x="47625" y="227789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877847"/>
                                </a:moveTo>
                                <a:lnTo>
                                  <a:pt x="27165" y="1857375"/>
                                </a:lnTo>
                                <a:lnTo>
                                  <a:pt x="20472" y="1857375"/>
                                </a:lnTo>
                                <a:lnTo>
                                  <a:pt x="0" y="1877847"/>
                                </a:lnTo>
                                <a:lnTo>
                                  <a:pt x="0" y="1881416"/>
                                </a:lnTo>
                                <a:lnTo>
                                  <a:pt x="0" y="1884540"/>
                                </a:lnTo>
                                <a:lnTo>
                                  <a:pt x="20472" y="1905000"/>
                                </a:lnTo>
                                <a:lnTo>
                                  <a:pt x="27165" y="1905000"/>
                                </a:lnTo>
                                <a:lnTo>
                                  <a:pt x="47625" y="1884540"/>
                                </a:lnTo>
                                <a:lnTo>
                                  <a:pt x="47625" y="18778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5984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220" id="docshape10" coordorigin="720,7875" coordsize="75,5220" path="m795,13052l794,13047,790,13038,788,13034,781,13027,777,13025,768,13021,763,13020,752,13020,747,13021,738,13025,734,13027,727,13034,725,13038,721,13047,720,13052,720,13058,720,13063,721,13068,725,13077,727,13081,734,13088,738,13090,747,13094,752,13095,763,13095,768,13094,777,13090,781,13088,788,13081,790,13077,794,13068,795,13063,795,13052xm795,12737l794,12732,790,12723,788,12719,781,12712,777,12710,768,12706,763,12705,752,12705,747,12706,738,12710,734,12712,727,12719,725,12723,721,12732,720,12737,720,12743,720,12748,721,12753,725,12762,727,12766,734,12773,738,12775,747,12779,752,12780,763,12780,768,12779,777,12775,781,12773,788,12766,790,12762,794,12753,795,12748,795,12737xm795,12422l794,12417,790,12408,788,12404,781,12397,777,12395,768,12391,763,12390,752,12390,747,12391,738,12395,734,12397,727,12404,725,12408,721,12417,720,12422,720,12428,720,12433,721,12438,725,12447,727,12451,734,12458,738,12460,747,12464,752,12465,763,12465,768,12464,777,12460,781,12458,788,12451,790,12447,794,12438,795,12433,795,12422xm795,12107l794,12102,790,12093,788,12089,781,12082,777,12080,768,12076,763,12075,752,12075,747,12076,738,12080,734,12082,727,12089,725,12093,721,12102,720,12107,720,12113,720,12118,721,12123,725,12132,727,12136,734,12143,738,12145,747,12149,752,12150,763,12150,768,12149,777,12145,781,12143,788,12136,790,12132,794,12123,795,12118,795,12107xm795,11792l794,11787,790,11778,788,11774,781,11767,777,11765,768,11761,763,11760,752,11760,747,11761,738,11765,734,11767,727,11774,725,11778,721,11787,720,11792,720,11798,720,11803,721,11808,725,11817,727,11821,734,11828,738,11830,747,11834,752,11835,763,11835,768,11834,777,11830,781,11828,788,11821,790,11817,794,11808,795,11803,795,11792xm795,11462l794,11457,790,11448,788,11444,781,11437,777,11435,768,11431,763,11430,752,11430,747,11431,738,11435,734,11437,727,11444,725,11448,721,11457,720,11462,720,11468,720,11473,721,11478,725,11487,727,11491,734,11498,738,11500,747,11504,752,11505,763,11505,768,11504,777,11500,781,11498,788,11491,790,11487,794,11478,795,11473,795,11462xm795,11147l794,11142,790,11133,788,11129,781,11122,777,11120,768,11116,763,11115,752,11115,747,11116,738,11120,734,11122,727,11129,725,11133,721,11142,720,11147,720,11153,720,11158,721,11163,725,11172,727,11176,734,11183,738,11185,747,11189,752,11190,763,11190,768,11189,777,11185,781,11183,788,11176,790,11172,794,11163,795,11158,795,11147xm795,10832l794,10827,790,10818,788,10814,781,10807,777,10805,768,10801,763,10800,752,10800,747,10801,738,10805,734,10807,727,10814,725,10818,721,10827,720,10832,720,10838,720,10843,721,10848,725,10857,727,10861,734,10868,738,10870,747,10874,752,10875,763,10875,768,10874,777,10870,781,10868,788,10861,790,10857,794,10848,795,10843,795,10832xm795,10517l794,10512,790,10503,788,10499,781,10492,777,10490,768,10486,763,10485,752,10485,747,10486,738,10490,734,10492,727,10499,725,10503,721,10512,720,10517,720,10523,720,10528,721,10533,725,10542,727,10546,734,10553,738,10555,747,10559,752,10560,763,10560,768,10559,777,10555,781,10553,788,10546,790,10542,794,10533,795,10528,795,10517xm795,10202l794,10197,790,10188,788,10184,781,10177,777,10175,768,10171,763,10170,752,10170,747,10171,738,10175,734,10177,727,10184,725,10188,721,10197,720,10202,720,10208,720,10213,721,10218,725,10227,727,10231,734,10238,738,10240,747,10244,752,10245,763,10245,768,10244,777,10240,781,10238,788,10231,790,10227,794,10218,795,10213,795,10202xm795,9872l794,9867,790,9858,788,9854,781,9847,777,9845,768,9841,763,9840,752,9840,747,9841,738,9845,734,9847,727,9854,725,9858,721,9867,720,9872,720,9878,720,9883,721,9888,725,9897,727,9901,734,9908,738,9910,747,9914,752,9915,763,9915,768,9914,777,9910,781,9908,788,9901,790,9897,794,9888,795,9883,795,9872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(740)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sade.sinclair@example.com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Zanesville, OH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3"/>
        <w:ind w:left="882" w:right="1097"/>
      </w:pPr>
      <w:r>
        <w:rPr>
          <w:color w:val="FFFFFF"/>
        </w:rPr>
        <w:t>BBA</w:t>
      </w:r>
      <w:r>
        <w:rPr>
          <w:color w:val="FFFFFF"/>
          <w:spacing w:val="-12"/>
        </w:rPr>
        <w:t> </w:t>
      </w:r>
      <w:r>
        <w:rPr>
          <w:color w:val="FFFFFF"/>
        </w:rPr>
        <w:t>Finance </w:t>
      </w:r>
      <w:r>
        <w:rPr>
          <w:color w:val="FFFFFF"/>
          <w:w w:val="105"/>
        </w:rPr>
        <w:t>2016 - 2020</w:t>
      </w:r>
    </w:p>
    <w:p>
      <w:pPr>
        <w:pStyle w:val="BodyText"/>
        <w:spacing w:before="23"/>
        <w:ind w:left="882"/>
      </w:pPr>
      <w:r>
        <w:rPr>
          <w:color w:val="FFFFFF"/>
        </w:rPr>
        <w:t>Ohio</w:t>
      </w:r>
      <w:r>
        <w:rPr>
          <w:color w:val="FFFFFF"/>
          <w:spacing w:val="9"/>
        </w:rPr>
        <w:t> </w:t>
      </w:r>
      <w:r>
        <w:rPr>
          <w:color w:val="FFFFFF"/>
        </w:rPr>
        <w:t>University,</w:t>
      </w:r>
      <w:r>
        <w:rPr>
          <w:color w:val="FFFFFF"/>
          <w:spacing w:val="-3"/>
        </w:rPr>
        <w:t> </w:t>
      </w:r>
      <w:r>
        <w:rPr>
          <w:color w:val="FFFFFF"/>
        </w:rPr>
        <w:t>Athens,</w:t>
      </w:r>
      <w:r>
        <w:rPr>
          <w:color w:val="FFFFFF"/>
          <w:spacing w:val="9"/>
        </w:rPr>
        <w:t> </w:t>
      </w:r>
      <w:r>
        <w:rPr>
          <w:color w:val="FFFFFF"/>
          <w:spacing w:val="-5"/>
        </w:rPr>
        <w:t>OH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 w:before="1"/>
        <w:ind w:left="882" w:right="1097"/>
      </w:pP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</w:t>
      </w:r>
      <w:r>
        <w:rPr>
          <w:color w:val="FFFFFF"/>
          <w:spacing w:val="-4"/>
          <w:w w:val="105"/>
        </w:rPr>
        <w:t>SAP</w:t>
      </w:r>
    </w:p>
    <w:p>
      <w:pPr>
        <w:pStyle w:val="BodyText"/>
        <w:spacing w:line="364" w:lineRule="auto"/>
        <w:ind w:left="882" w:right="1097"/>
      </w:pPr>
      <w:r>
        <w:rPr>
          <w:color w:val="FFFFFF"/>
          <w:w w:val="105"/>
        </w:rPr>
        <w:t>Power BI </w:t>
      </w: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Project </w:t>
      </w:r>
      <w:r>
        <w:rPr>
          <w:color w:val="FFFFFF"/>
          <w:spacing w:val="-4"/>
          <w:w w:val="105"/>
        </w:rPr>
        <w:t>SQL</w:t>
      </w:r>
    </w:p>
    <w:p>
      <w:pPr>
        <w:pStyle w:val="BodyText"/>
        <w:spacing w:line="374" w:lineRule="auto" w:before="2"/>
        <w:ind w:left="882" w:right="590"/>
      </w:pPr>
      <w:r>
        <w:rPr>
          <w:color w:val="FFFFFF"/>
          <w:w w:val="105"/>
        </w:rPr>
        <w:t>Variance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 </w:t>
      </w:r>
      <w:r>
        <w:rPr>
          <w:color w:val="FFFFFF"/>
        </w:rPr>
        <w:t>Fixed-Asset</w:t>
      </w:r>
      <w:r>
        <w:rPr>
          <w:color w:val="FFFFFF"/>
          <w:spacing w:val="-9"/>
        </w:rPr>
        <w:t> </w:t>
      </w:r>
      <w:r>
        <w:rPr>
          <w:color w:val="FFFFFF"/>
        </w:rPr>
        <w:t>Accounting </w:t>
      </w:r>
      <w:r>
        <w:rPr>
          <w:color w:val="FFFFFF"/>
          <w:w w:val="105"/>
        </w:rPr>
        <w:t>Capital Budgeting</w:t>
      </w:r>
    </w:p>
    <w:p>
      <w:pPr>
        <w:pStyle w:val="BodyText"/>
        <w:spacing w:line="364" w:lineRule="auto"/>
        <w:ind w:left="882" w:right="174"/>
      </w:pPr>
      <w:r>
        <w:rPr>
          <w:color w:val="FFFFFF"/>
          <w:spacing w:val="-2"/>
          <w:w w:val="105"/>
        </w:rPr>
        <w:t>Depreciation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Scheduling </w:t>
      </w:r>
      <w:r>
        <w:rPr>
          <w:color w:val="FFFFFF"/>
          <w:w w:val="105"/>
        </w:rPr>
        <w:t>Cost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ind w:left="882"/>
      </w:pPr>
      <w:r>
        <w:rPr>
          <w:color w:val="FFFFFF"/>
        </w:rPr>
        <w:t>Financial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Reporting</w:t>
      </w:r>
    </w:p>
    <w:p>
      <w:pPr>
        <w:pStyle w:val="BodyText"/>
        <w:spacing w:before="133"/>
        <w:ind w:left="139"/>
      </w:pPr>
      <w:r>
        <w:rPr/>
        <w:br w:type="column"/>
      </w:r>
      <w:r>
        <w:rPr>
          <w:spacing w:val="-2"/>
          <w:w w:val="105"/>
        </w:rPr>
        <w:t>Financial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Analyst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2023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Muskingum</w:t>
      </w:r>
      <w:r>
        <w:rPr>
          <w:spacing w:val="14"/>
        </w:rPr>
        <w:t> </w:t>
      </w:r>
      <w:r>
        <w:rPr/>
        <w:t>Valley</w:t>
      </w:r>
      <w:r>
        <w:rPr>
          <w:spacing w:val="14"/>
        </w:rPr>
        <w:t> </w:t>
      </w:r>
      <w:r>
        <w:rPr/>
        <w:t>Manufacturing</w:t>
      </w:r>
      <w:r>
        <w:rPr>
          <w:spacing w:val="14"/>
        </w:rPr>
        <w:t> </w:t>
      </w:r>
      <w:r>
        <w:rPr/>
        <w:t>Group,</w:t>
      </w:r>
      <w:r>
        <w:rPr>
          <w:spacing w:val="14"/>
        </w:rPr>
        <w:t> </w:t>
      </w:r>
      <w:r>
        <w:rPr/>
        <w:t>Zanesville,</w:t>
      </w:r>
      <w:r>
        <w:rPr>
          <w:spacing w:val="14"/>
        </w:rPr>
        <w:t> </w:t>
      </w:r>
      <w:r>
        <w:rPr>
          <w:spacing w:val="-5"/>
        </w:rPr>
        <w:t>OH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4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Analyzed</w:t>
      </w:r>
      <w:r>
        <w:rPr>
          <w:spacing w:val="-14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cost</w:t>
      </w:r>
      <w:r>
        <w:rPr>
          <w:spacing w:val="-13"/>
          <w:w w:val="105"/>
        </w:rPr>
        <w:t> </w:t>
      </w:r>
      <w:r>
        <w:rPr>
          <w:w w:val="105"/>
        </w:rPr>
        <w:t>variances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period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4"/>
          <w:w w:val="105"/>
        </w:rPr>
        <w:t> </w:t>
      </w:r>
      <w:r>
        <w:rPr>
          <w:w w:val="105"/>
        </w:rPr>
        <w:t>production</w:t>
      </w:r>
      <w:r>
        <w:rPr>
          <w:spacing w:val="-13"/>
          <w:w w:val="105"/>
        </w:rPr>
        <w:t> </w:t>
      </w:r>
      <w:r>
        <w:rPr>
          <w:w w:val="105"/>
        </w:rPr>
        <w:t>departments, identifying root causes for material, labor, and overhead deviations totaling $43,910 per quarter.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0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Tracked</w:t>
      </w:r>
      <w:r>
        <w:rPr>
          <w:spacing w:val="-1"/>
          <w:w w:val="105"/>
        </w:rPr>
        <w:t> </w:t>
      </w:r>
      <w:r>
        <w:rPr>
          <w:w w:val="105"/>
        </w:rPr>
        <w:t>11</w:t>
      </w:r>
      <w:r>
        <w:rPr>
          <w:spacing w:val="-1"/>
          <w:w w:val="105"/>
        </w:rPr>
        <w:t> </w:t>
      </w:r>
      <w:r>
        <w:rPr>
          <w:w w:val="105"/>
        </w:rPr>
        <w:t>capital</w:t>
      </w:r>
      <w:r>
        <w:rPr>
          <w:spacing w:val="-1"/>
          <w:w w:val="105"/>
        </w:rPr>
        <w:t> </w:t>
      </w:r>
      <w:r>
        <w:rPr>
          <w:w w:val="105"/>
        </w:rPr>
        <w:t>projects</w:t>
      </w:r>
      <w:r>
        <w:rPr>
          <w:spacing w:val="-1"/>
          <w:w w:val="105"/>
        </w:rPr>
        <w:t> </w:t>
      </w:r>
      <w:r>
        <w:rPr>
          <w:w w:val="105"/>
        </w:rPr>
        <w:t>valued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$10.7M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aggregate,</w:t>
      </w:r>
      <w:r>
        <w:rPr>
          <w:spacing w:val="-1"/>
          <w:w w:val="105"/>
        </w:rPr>
        <w:t> </w:t>
      </w:r>
      <w:r>
        <w:rPr>
          <w:w w:val="105"/>
        </w:rPr>
        <w:t>updating </w:t>
      </w:r>
      <w:r>
        <w:rPr>
          <w:spacing w:val="-2"/>
          <w:w w:val="105"/>
        </w:rPr>
        <w:t>spend-to-budget ﬁgures weekly and reporting completion milestones to </w:t>
      </w:r>
      <w:r>
        <w:rPr>
          <w:w w:val="105"/>
        </w:rPr>
        <w:t>the CFO.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770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Maintained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depreciation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schedules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38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ﬁxed-asset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classes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SAP, </w:t>
      </w:r>
      <w:r>
        <w:rPr>
          <w:w w:val="105"/>
        </w:rPr>
        <w:t>processing 19 additions and 8 disposals per quarter.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Condensed the monthly variance commentary cycle from 5 days to 2.5 days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standardizing</w:t>
      </w:r>
      <w:r>
        <w:rPr>
          <w:spacing w:val="-13"/>
          <w:w w:val="105"/>
        </w:rPr>
        <w:t> </w:t>
      </w:r>
      <w:r>
        <w:rPr>
          <w:w w:val="105"/>
        </w:rPr>
        <w:t>explanation</w:t>
      </w:r>
      <w:r>
        <w:rPr>
          <w:spacing w:val="-13"/>
          <w:w w:val="105"/>
        </w:rPr>
        <w:t> </w:t>
      </w:r>
      <w:r>
        <w:rPr>
          <w:w w:val="105"/>
        </w:rPr>
        <w:t>codes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building</w:t>
      </w:r>
      <w:r>
        <w:rPr>
          <w:spacing w:val="-13"/>
          <w:w w:val="105"/>
        </w:rPr>
        <w:t> </w:t>
      </w:r>
      <w:r>
        <w:rPr>
          <w:w w:val="105"/>
        </w:rPr>
        <w:t>lookup</w:t>
      </w:r>
      <w:r>
        <w:rPr>
          <w:spacing w:val="-14"/>
          <w:w w:val="105"/>
        </w:rPr>
        <w:t> </w:t>
      </w:r>
      <w:r>
        <w:rPr>
          <w:w w:val="105"/>
        </w:rPr>
        <w:t>formulas</w:t>
      </w:r>
      <w:r>
        <w:rPr>
          <w:spacing w:val="-13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Excel.</w:t>
      </w:r>
    </w:p>
    <w:p>
      <w:pPr>
        <w:pStyle w:val="BodyText"/>
        <w:spacing w:before="193"/>
        <w:ind w:left="139"/>
      </w:pPr>
      <w:r>
        <w:rPr>
          <w:spacing w:val="-2"/>
          <w:w w:val="105"/>
        </w:rPr>
        <w:t>Junior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Financial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8"/>
        <w:ind w:left="139"/>
      </w:pPr>
      <w:r>
        <w:rPr/>
        <w:t>Licking</w:t>
      </w:r>
      <w:r>
        <w:rPr>
          <w:spacing w:val="13"/>
        </w:rPr>
        <w:t> </w:t>
      </w:r>
      <w:r>
        <w:rPr/>
        <w:t>Creek</w:t>
      </w:r>
      <w:r>
        <w:rPr>
          <w:spacing w:val="14"/>
        </w:rPr>
        <w:t> </w:t>
      </w:r>
      <w:r>
        <w:rPr/>
        <w:t>Distribution</w:t>
      </w:r>
      <w:r>
        <w:rPr>
          <w:spacing w:val="14"/>
        </w:rPr>
        <w:t> </w:t>
      </w:r>
      <w:r>
        <w:rPr/>
        <w:t>Partners,</w:t>
      </w:r>
      <w:r>
        <w:rPr>
          <w:spacing w:val="14"/>
        </w:rPr>
        <w:t> </w:t>
      </w:r>
      <w:r>
        <w:rPr/>
        <w:t>Newark,</w:t>
      </w:r>
      <w:r>
        <w:rPr>
          <w:spacing w:val="14"/>
        </w:rPr>
        <w:t> </w:t>
      </w:r>
      <w:r>
        <w:rPr>
          <w:spacing w:val="-5"/>
        </w:rPr>
        <w:t>OH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85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Analyzed 9 cost variances per period for warehouse and logistics operations,</w:t>
      </w:r>
      <w:r>
        <w:rPr>
          <w:spacing w:val="-14"/>
          <w:w w:val="105"/>
        </w:rPr>
        <w:t> </w:t>
      </w:r>
      <w:r>
        <w:rPr>
          <w:w w:val="105"/>
        </w:rPr>
        <w:t>ﬂagging</w:t>
      </w:r>
      <w:r>
        <w:rPr>
          <w:spacing w:val="-13"/>
          <w:w w:val="105"/>
        </w:rPr>
        <w:t> </w:t>
      </w:r>
      <w:r>
        <w:rPr>
          <w:w w:val="105"/>
        </w:rPr>
        <w:t>$17,630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unplanned</w:t>
      </w:r>
      <w:r>
        <w:rPr>
          <w:spacing w:val="-13"/>
          <w:w w:val="105"/>
        </w:rPr>
        <w:t> </w:t>
      </w:r>
      <w:r>
        <w:rPr>
          <w:w w:val="105"/>
        </w:rPr>
        <w:t>freight</w:t>
      </w:r>
      <w:r>
        <w:rPr>
          <w:spacing w:val="-13"/>
          <w:w w:val="105"/>
        </w:rPr>
        <w:t> </w:t>
      </w:r>
      <w:r>
        <w:rPr>
          <w:w w:val="105"/>
        </w:rPr>
        <w:t>surcharges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4"/>
          <w:w w:val="105"/>
        </w:rPr>
        <w:t> </w:t>
      </w:r>
      <w:r>
        <w:rPr>
          <w:w w:val="105"/>
        </w:rPr>
        <w:t>6 </w:t>
      </w:r>
      <w:r>
        <w:rPr>
          <w:spacing w:val="-2"/>
          <w:w w:val="105"/>
        </w:rPr>
        <w:t>months.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1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Tracked</w:t>
      </w:r>
      <w:r>
        <w:rPr>
          <w:spacing w:val="-14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capital</w:t>
      </w:r>
      <w:r>
        <w:rPr>
          <w:spacing w:val="-13"/>
          <w:w w:val="105"/>
        </w:rPr>
        <w:t> </w:t>
      </w:r>
      <w:r>
        <w:rPr>
          <w:w w:val="105"/>
        </w:rPr>
        <w:t>projects</w:t>
      </w:r>
      <w:r>
        <w:rPr>
          <w:spacing w:val="-13"/>
          <w:w w:val="105"/>
        </w:rPr>
        <w:t> </w:t>
      </w:r>
      <w:r>
        <w:rPr>
          <w:w w:val="105"/>
        </w:rPr>
        <w:t>ranging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$24,310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$196,400,</w:t>
      </w:r>
      <w:r>
        <w:rPr>
          <w:spacing w:val="-13"/>
          <w:w w:val="105"/>
        </w:rPr>
        <w:t> </w:t>
      </w:r>
      <w:r>
        <w:rPr>
          <w:w w:val="105"/>
        </w:rPr>
        <w:t>maintaining schedule updates in Microsoft Project and reporting to leadership </w:t>
      </w:r>
      <w:r>
        <w:rPr>
          <w:spacing w:val="-2"/>
          <w:w w:val="105"/>
        </w:rPr>
        <w:t>biweekly.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92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Maintained depreciation schedules for 47 asset groups, completing </w:t>
      </w:r>
      <w:r>
        <w:rPr>
          <w:w w:val="105"/>
        </w:rPr>
        <w:t>quarterly roll-forward reports within 2 business days.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5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Compiled ﬁxed-asset register updates for year-end audit, reconciling 46 </w:t>
      </w:r>
      <w:r>
        <w:rPr>
          <w:w w:val="105"/>
        </w:rPr>
        <w:t>line items and clearing 3 tagging discrepancies in 8 hours.</w:t>
      </w:r>
    </w:p>
    <w:p>
      <w:pPr>
        <w:pStyle w:val="BodyText"/>
        <w:spacing w:before="2"/>
      </w:pPr>
    </w:p>
    <w:p>
      <w:pPr>
        <w:pStyle w:val="BodyText"/>
        <w:ind w:left="139"/>
      </w:pPr>
      <w:r>
        <w:rPr>
          <w:w w:val="105"/>
        </w:rPr>
        <w:t>Finance</w:t>
      </w:r>
      <w:r>
        <w:rPr>
          <w:spacing w:val="-11"/>
          <w:w w:val="105"/>
        </w:rPr>
        <w:t> </w:t>
      </w:r>
      <w:r>
        <w:rPr>
          <w:w w:val="105"/>
        </w:rPr>
        <w:t>Intern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2020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/>
        <w:t>Hocking</w:t>
      </w:r>
      <w:r>
        <w:rPr>
          <w:spacing w:val="10"/>
        </w:rPr>
        <w:t> </w:t>
      </w:r>
      <w:r>
        <w:rPr/>
        <w:t>River</w:t>
      </w:r>
      <w:r>
        <w:rPr>
          <w:spacing w:val="10"/>
        </w:rPr>
        <w:t> </w:t>
      </w:r>
      <w:r>
        <w:rPr/>
        <w:t>Supply</w:t>
      </w:r>
      <w:r>
        <w:rPr>
          <w:spacing w:val="11"/>
        </w:rPr>
        <w:t> </w:t>
      </w:r>
      <w:r>
        <w:rPr/>
        <w:t>Co.,</w:t>
      </w:r>
      <w:r>
        <w:rPr>
          <w:spacing w:val="10"/>
        </w:rPr>
        <w:t> </w:t>
      </w:r>
      <w:r>
        <w:rPr/>
        <w:t>Lancaster,</w:t>
      </w:r>
      <w:r>
        <w:rPr>
          <w:spacing w:val="10"/>
        </w:rPr>
        <w:t> </w:t>
      </w:r>
      <w:r>
        <w:rPr>
          <w:spacing w:val="-5"/>
        </w:rPr>
        <w:t>OH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78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Assisted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analyzing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cost</w:t>
      </w:r>
      <w:r>
        <w:rPr>
          <w:spacing w:val="-13"/>
          <w:w w:val="105"/>
        </w:rPr>
        <w:t> </w:t>
      </w:r>
      <w:r>
        <w:rPr>
          <w:w w:val="105"/>
        </w:rPr>
        <w:t>variances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period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gathering</w:t>
      </w:r>
      <w:r>
        <w:rPr>
          <w:spacing w:val="-13"/>
          <w:w w:val="105"/>
        </w:rPr>
        <w:t> </w:t>
      </w:r>
      <w:r>
        <w:rPr>
          <w:w w:val="105"/>
        </w:rPr>
        <w:t>actual spending</w:t>
      </w:r>
      <w:r>
        <w:rPr>
          <w:spacing w:val="-7"/>
          <w:w w:val="105"/>
        </w:rPr>
        <w:t> </w:t>
      </w:r>
      <w:r>
        <w:rPr>
          <w:w w:val="105"/>
        </w:rPr>
        <w:t>data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SAP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formatting</w:t>
      </w:r>
      <w:r>
        <w:rPr>
          <w:spacing w:val="-7"/>
          <w:w w:val="105"/>
        </w:rPr>
        <w:t> </w:t>
      </w:r>
      <w:r>
        <w:rPr>
          <w:w w:val="105"/>
        </w:rPr>
        <w:t>comparison</w:t>
      </w:r>
      <w:r>
        <w:rPr>
          <w:spacing w:val="-7"/>
          <w:w w:val="105"/>
        </w:rPr>
        <w:t> </w:t>
      </w:r>
      <w:r>
        <w:rPr>
          <w:w w:val="105"/>
        </w:rPr>
        <w:t>tables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Excel.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6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Updated depreciation schedules for 29 asset categories, entering monthly </w:t>
      </w:r>
      <w:r>
        <w:rPr>
          <w:w w:val="105"/>
        </w:rPr>
        <w:t>entries and verifying $2,190 in accumulated depreciation adjustments.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736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Supported capital project tracking by organizing vendor quotes and change</w:t>
      </w:r>
      <w:r>
        <w:rPr>
          <w:spacing w:val="-14"/>
          <w:w w:val="105"/>
        </w:rPr>
        <w:t> </w:t>
      </w:r>
      <w:r>
        <w:rPr>
          <w:w w:val="105"/>
        </w:rPr>
        <w:t>orders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facility</w:t>
      </w:r>
      <w:r>
        <w:rPr>
          <w:spacing w:val="-13"/>
          <w:w w:val="105"/>
        </w:rPr>
        <w:t> </w:t>
      </w:r>
      <w:r>
        <w:rPr>
          <w:w w:val="105"/>
        </w:rPr>
        <w:t>improvement</w:t>
      </w:r>
      <w:r>
        <w:rPr>
          <w:spacing w:val="-13"/>
          <w:w w:val="105"/>
        </w:rPr>
        <w:t> </w:t>
      </w:r>
      <w:r>
        <w:rPr>
          <w:w w:val="105"/>
        </w:rPr>
        <w:t>projects</w:t>
      </w:r>
      <w:r>
        <w:rPr>
          <w:spacing w:val="-13"/>
          <w:w w:val="105"/>
        </w:rPr>
        <w:t> </w:t>
      </w:r>
      <w:r>
        <w:rPr>
          <w:w w:val="105"/>
        </w:rPr>
        <w:t>valued</w:t>
      </w:r>
      <w:r>
        <w:rPr>
          <w:spacing w:val="-14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$391,700.</w:t>
      </w:r>
    </w:p>
    <w:sectPr>
      <w:type w:val="continuous"/>
      <w:pgSz w:w="11920" w:h="16860"/>
      <w:pgMar w:top="0" w:bottom="0" w:left="141" w:right="0"/>
      <w:cols w:num="2" w:equalWidth="0">
        <w:col w:w="3418" w:space="1214"/>
        <w:col w:w="71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308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sade.sinclair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2026-10-10T05:46:20Z</dcterms:created>
  <dcterms:modified xsi:type="dcterms:W3CDTF">2026-10-10T05:46:20Z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