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  <w:spacing w:val="-4"/>
        </w:rPr>
        <w:t>Trevor</w:t>
      </w:r>
      <w:r>
        <w:rPr>
          <w:color w:val="134E5C"/>
          <w:spacing w:val="-39"/>
        </w:rPr>
        <w:t> </w:t>
      </w:r>
      <w:r>
        <w:rPr>
          <w:color w:val="134E5C"/>
          <w:spacing w:val="-2"/>
        </w:rPr>
        <w:t>Radcliffe</w:t>
      </w:r>
    </w:p>
    <w:p>
      <w:pPr>
        <w:spacing w:before="109"/>
        <w:ind w:left="4541" w:right="36" w:firstLine="0"/>
        <w:jc w:val="center"/>
        <w:rPr>
          <w:sz w:val="18"/>
        </w:rPr>
      </w:pPr>
      <w:r>
        <w:rPr>
          <w:sz w:val="18"/>
        </w:rPr>
        <w:t>Senior</w:t>
      </w:r>
      <w:r>
        <w:rPr>
          <w:spacing w:val="-1"/>
          <w:sz w:val="18"/>
        </w:rPr>
        <w:t> </w:t>
      </w:r>
      <w:r>
        <w:rPr>
          <w:sz w:val="18"/>
        </w:rPr>
        <w:t>SQL </w:t>
      </w:r>
      <w:r>
        <w:rPr>
          <w:spacing w:val="-2"/>
          <w:sz w:val="18"/>
        </w:rPr>
        <w:t>Developer</w:t>
      </w:r>
    </w:p>
    <w:p>
      <w:pPr>
        <w:pStyle w:val="BodyText"/>
        <w:spacing w:line="273" w:lineRule="auto" w:before="157"/>
        <w:ind w:left="4771" w:right="264" w:hanging="1"/>
        <w:jc w:val="center"/>
      </w:pPr>
      <w:r>
        <w:rPr>
          <w:w w:val="105"/>
        </w:rPr>
        <w:t>SQL developer with 12 years of experience building and administering database environments</w:t>
      </w:r>
      <w:r>
        <w:rPr>
          <w:spacing w:val="-8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SQL</w:t>
      </w:r>
      <w:r>
        <w:rPr>
          <w:spacing w:val="-8"/>
          <w:w w:val="105"/>
        </w:rPr>
        <w:t> </w:t>
      </w:r>
      <w:r>
        <w:rPr>
          <w:w w:val="105"/>
        </w:rPr>
        <w:t>Server,</w:t>
      </w:r>
      <w:r>
        <w:rPr>
          <w:spacing w:val="-9"/>
          <w:w w:val="105"/>
        </w:rPr>
        <w:t> </w:t>
      </w:r>
      <w:r>
        <w:rPr>
          <w:w w:val="105"/>
        </w:rPr>
        <w:t>Azure</w:t>
      </w:r>
      <w:r>
        <w:rPr>
          <w:spacing w:val="-8"/>
          <w:w w:val="105"/>
        </w:rPr>
        <w:t> </w:t>
      </w:r>
      <w:r>
        <w:rPr>
          <w:w w:val="105"/>
        </w:rPr>
        <w:t>SQL,</w:t>
      </w:r>
      <w:r>
        <w:rPr>
          <w:spacing w:val="-9"/>
          <w:w w:val="105"/>
        </w:rPr>
        <w:t> </w:t>
      </w:r>
      <w:r>
        <w:rPr>
          <w:w w:val="105"/>
        </w:rPr>
        <w:t>PostgreSQL,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Oracle.</w:t>
      </w:r>
      <w:r>
        <w:rPr>
          <w:spacing w:val="-8"/>
          <w:w w:val="105"/>
        </w:rPr>
        <w:t> </w:t>
      </w:r>
      <w:r>
        <w:rPr>
          <w:w w:val="105"/>
        </w:rPr>
        <w:t>Completed</w:t>
      </w:r>
      <w:r>
        <w:rPr>
          <w:spacing w:val="-9"/>
          <w:w w:val="105"/>
        </w:rPr>
        <w:t> </w:t>
      </w:r>
      <w:r>
        <w:rPr>
          <w:w w:val="105"/>
        </w:rPr>
        <w:t>a</w:t>
      </w:r>
    </w:p>
    <w:p>
      <w:pPr>
        <w:pStyle w:val="BodyText"/>
        <w:spacing w:line="273" w:lineRule="auto" w:before="0"/>
        <w:ind w:left="4541" w:right="34"/>
        <w:jc w:val="center"/>
      </w:pPr>
      <w:r>
        <w:rPr>
          <w:w w:val="105"/>
        </w:rPr>
        <w:t>$1.64M data platform migration 30.2% under budget by reusing modular stored procedure templates and negotiating consolidated vendor licensing. Mentored 7 developers and interns across multiple roles, with 3 advancing to independent project-lead positions.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(920)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trevor.radcliffe@example.com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Manitowoc, WI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6" w:lineRule="auto" w:before="1"/>
        <w:ind w:left="776" w:right="1411" w:firstLine="0"/>
        <w:jc w:val="left"/>
        <w:rPr>
          <w:sz w:val="18"/>
        </w:rPr>
      </w:pPr>
      <w:r>
        <w:rPr>
          <w:color w:val="FFFFFF"/>
          <w:w w:val="105"/>
          <w:sz w:val="18"/>
        </w:rPr>
        <w:t>SQL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Server Azure SQL </w:t>
      </w:r>
      <w:r>
        <w:rPr>
          <w:color w:val="FFFFFF"/>
          <w:spacing w:val="-2"/>
          <w:sz w:val="18"/>
        </w:rPr>
        <w:t>PostgreSQL </w:t>
      </w:r>
      <w:r>
        <w:rPr>
          <w:color w:val="FFFFFF"/>
          <w:spacing w:val="-4"/>
          <w:w w:val="105"/>
          <w:sz w:val="18"/>
        </w:rPr>
        <w:t>SSIS</w:t>
      </w:r>
    </w:p>
    <w:p>
      <w:pPr>
        <w:spacing w:line="364" w:lineRule="auto" w:before="5"/>
        <w:ind w:left="776" w:right="2126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SSMS </w:t>
      </w:r>
      <w:r>
        <w:rPr>
          <w:color w:val="FFFFFF"/>
          <w:spacing w:val="-5"/>
          <w:sz w:val="18"/>
        </w:rPr>
        <w:t>T-</w:t>
      </w:r>
      <w:r>
        <w:rPr>
          <w:color w:val="FFFFFF"/>
          <w:spacing w:val="-5"/>
          <w:sz w:val="18"/>
        </w:rPr>
        <w:t>SQL</w:t>
      </w:r>
    </w:p>
    <w:p>
      <w:pPr>
        <w:spacing w:line="381" w:lineRule="auto" w:before="16"/>
        <w:ind w:left="776" w:right="1411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Oracle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PL/SQL </w:t>
      </w:r>
      <w:r>
        <w:rPr>
          <w:color w:val="FFFFFF"/>
          <w:spacing w:val="-4"/>
          <w:w w:val="105"/>
          <w:sz w:val="18"/>
        </w:rPr>
        <w:t>Git</w:t>
      </w:r>
    </w:p>
    <w:p>
      <w:pPr>
        <w:spacing w:line="364" w:lineRule="auto" w:before="1"/>
        <w:ind w:left="776" w:right="2126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JIRA </w:t>
      </w:r>
      <w:r>
        <w:rPr>
          <w:color w:val="FFFFFF"/>
          <w:spacing w:val="-4"/>
          <w:sz w:val="18"/>
        </w:rPr>
        <w:t>SDLC</w:t>
      </w:r>
    </w:p>
    <w:p>
      <w:pPr>
        <w:spacing w:line="381" w:lineRule="auto" w:before="16"/>
        <w:ind w:left="776" w:right="1085" w:firstLine="0"/>
        <w:jc w:val="left"/>
        <w:rPr>
          <w:sz w:val="18"/>
        </w:rPr>
      </w:pPr>
      <w:r>
        <w:rPr>
          <w:color w:val="FFFFFF"/>
          <w:sz w:val="18"/>
        </w:rPr>
        <w:t>HIPAA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Compliance </w:t>
      </w:r>
      <w:r>
        <w:rPr>
          <w:color w:val="FFFFFF"/>
          <w:spacing w:val="-2"/>
          <w:w w:val="105"/>
          <w:sz w:val="18"/>
        </w:rPr>
        <w:t>GDPR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Compliance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Senior</w:t>
      </w:r>
      <w:r>
        <w:rPr>
          <w:spacing w:val="-12"/>
          <w:w w:val="105"/>
        </w:rPr>
        <w:t> </w:t>
      </w:r>
      <w:r>
        <w:rPr>
          <w:w w:val="105"/>
        </w:rPr>
        <w:t>SQL</w:t>
      </w:r>
      <w:r>
        <w:rPr>
          <w:spacing w:val="-12"/>
          <w:w w:val="105"/>
        </w:rPr>
        <w:t> </w:t>
      </w:r>
      <w:r>
        <w:rPr>
          <w:w w:val="105"/>
        </w:rPr>
        <w:t>Developer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Lakeshore</w:t>
      </w:r>
      <w:r>
        <w:rPr>
          <w:spacing w:val="-10"/>
          <w:w w:val="105"/>
        </w:rPr>
        <w:t> </w:t>
      </w:r>
      <w:r>
        <w:rPr>
          <w:w w:val="105"/>
        </w:rPr>
        <w:t>Bend</w:t>
      </w:r>
      <w:r>
        <w:rPr>
          <w:spacing w:val="-10"/>
          <w:w w:val="105"/>
        </w:rPr>
        <w:t> </w:t>
      </w:r>
      <w:r>
        <w:rPr>
          <w:w w:val="105"/>
        </w:rPr>
        <w:t>Data</w:t>
      </w:r>
      <w:r>
        <w:rPr>
          <w:spacing w:val="-10"/>
          <w:w w:val="105"/>
        </w:rPr>
        <w:t> </w:t>
      </w:r>
      <w:r>
        <w:rPr>
          <w:w w:val="105"/>
        </w:rPr>
        <w:t>Partners,</w:t>
      </w:r>
      <w:r>
        <w:rPr>
          <w:spacing w:val="-10"/>
          <w:w w:val="105"/>
        </w:rPr>
        <w:t> </w:t>
      </w:r>
      <w:r>
        <w:rPr>
          <w:w w:val="105"/>
        </w:rPr>
        <w:t>Manitowoc,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Completed a $1.64M data platform migration 30.2% under the approved project budget by reusing modular stored procedure templates and negotiating consolidated vendor licensing.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Mentored 5 junior and mid-level SQL developers through structured pair-programming rotations and biweekly knowledge-sharing sessions, advancing 3 to independent project-lead roles within 9 months.</w:t>
      </w:r>
    </w:p>
    <w:p>
      <w:pPr>
        <w:pStyle w:val="BodyText"/>
        <w:spacing w:line="273" w:lineRule="auto"/>
        <w:ind w:left="776" w:right="45"/>
      </w:pPr>
      <w:r>
        <w:rPr>
          <w:w w:val="105"/>
        </w:rPr>
        <w:t>Managed 11 database environments spanning SQL Server, Azure SQL, and PostgreSQL, maintaining uptime across development, staging, and production </w:t>
      </w:r>
      <w:r>
        <w:rPr>
          <w:spacing w:val="-2"/>
          <w:w w:val="105"/>
        </w:rPr>
        <w:t>tiers.</w:t>
      </w:r>
    </w:p>
    <w:p>
      <w:pPr>
        <w:pStyle w:val="BodyText"/>
        <w:spacing w:line="273" w:lineRule="auto" w:before="106"/>
        <w:ind w:left="776"/>
      </w:pPr>
      <w:r>
        <w:rPr>
          <w:w w:val="105"/>
        </w:rPr>
        <w:t>Designed HIPAA-compliant audit logging across 42 clinical tables using T-SQL triggers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SSMS,</w:t>
      </w:r>
      <w:r>
        <w:rPr>
          <w:spacing w:val="-1"/>
          <w:w w:val="105"/>
        </w:rPr>
        <w:t> </w:t>
      </w:r>
      <w:r>
        <w:rPr>
          <w:w w:val="105"/>
        </w:rPr>
        <w:t>passing</w:t>
      </w:r>
      <w:r>
        <w:rPr>
          <w:spacing w:val="-1"/>
          <w:w w:val="105"/>
        </w:rPr>
        <w:t> </w:t>
      </w:r>
      <w:r>
        <w:rPr>
          <w:w w:val="105"/>
        </w:rPr>
        <w:t>2</w:t>
      </w:r>
      <w:r>
        <w:rPr>
          <w:spacing w:val="-1"/>
          <w:w w:val="105"/>
        </w:rPr>
        <w:t> </w:t>
      </w:r>
      <w:r>
        <w:rPr>
          <w:w w:val="105"/>
        </w:rPr>
        <w:t>consecutive</w:t>
      </w:r>
      <w:r>
        <w:rPr>
          <w:spacing w:val="-1"/>
          <w:w w:val="105"/>
        </w:rPr>
        <w:t> </w:t>
      </w:r>
      <w:r>
        <w:rPr>
          <w:w w:val="105"/>
        </w:rPr>
        <w:t>annual</w:t>
      </w:r>
      <w:r>
        <w:rPr>
          <w:spacing w:val="-1"/>
          <w:w w:val="105"/>
        </w:rPr>
        <w:t> </w:t>
      </w:r>
      <w:r>
        <w:rPr>
          <w:w w:val="105"/>
        </w:rPr>
        <w:t>compliance</w:t>
      </w:r>
      <w:r>
        <w:rPr>
          <w:spacing w:val="-1"/>
          <w:w w:val="105"/>
        </w:rPr>
        <w:t> </w:t>
      </w:r>
      <w:r>
        <w:rPr>
          <w:w w:val="105"/>
        </w:rPr>
        <w:t>reviews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zero </w:t>
      </w:r>
      <w:r>
        <w:rPr>
          <w:spacing w:val="-2"/>
          <w:w w:val="105"/>
        </w:rPr>
        <w:t>ﬁndings.</w:t>
      </w:r>
    </w:p>
    <w:p>
      <w:pPr>
        <w:pStyle w:val="BodyText"/>
        <w:spacing w:line="273" w:lineRule="auto"/>
        <w:ind w:left="776" w:right="45"/>
      </w:pPr>
      <w:r>
        <w:rPr>
          <w:w w:val="105"/>
        </w:rPr>
        <w:t>Wrote stored procedures and views in Azure SQL supporting a customer portal that served 47,300 registered accounts.</w:t>
      </w:r>
    </w:p>
    <w:p>
      <w:pPr>
        <w:pStyle w:val="BodyText"/>
        <w:spacing w:before="180"/>
        <w:ind w:left="107"/>
      </w:pPr>
      <w:r>
        <w:rPr>
          <w:w w:val="105"/>
        </w:rPr>
        <w:t>2017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107"/>
      </w:pPr>
      <w:r>
        <w:rPr>
          <w:w w:val="105"/>
        </w:rPr>
        <w:t>SQL</w:t>
      </w:r>
      <w:r>
        <w:rPr>
          <w:spacing w:val="-12"/>
          <w:w w:val="105"/>
        </w:rPr>
        <w:t> </w:t>
      </w:r>
      <w:r>
        <w:rPr>
          <w:w w:val="105"/>
        </w:rPr>
        <w:t>Developer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Fox</w:t>
      </w:r>
      <w:r>
        <w:rPr>
          <w:spacing w:val="-10"/>
          <w:w w:val="105"/>
        </w:rPr>
        <w:t> </w:t>
      </w:r>
      <w:r>
        <w:rPr>
          <w:w w:val="105"/>
        </w:rPr>
        <w:t>Valley</w:t>
      </w:r>
      <w:r>
        <w:rPr>
          <w:spacing w:val="-10"/>
          <w:w w:val="105"/>
        </w:rPr>
        <w:t> </w:t>
      </w:r>
      <w:r>
        <w:rPr>
          <w:w w:val="105"/>
        </w:rPr>
        <w:t>Analytics</w:t>
      </w:r>
      <w:r>
        <w:rPr>
          <w:spacing w:val="-9"/>
          <w:w w:val="105"/>
        </w:rPr>
        <w:t> </w:t>
      </w:r>
      <w:r>
        <w:rPr>
          <w:w w:val="105"/>
        </w:rPr>
        <w:t>Group,</w:t>
      </w:r>
      <w:r>
        <w:rPr>
          <w:spacing w:val="-10"/>
          <w:w w:val="105"/>
        </w:rPr>
        <w:t> </w:t>
      </w:r>
      <w:r>
        <w:rPr>
          <w:w w:val="105"/>
        </w:rPr>
        <w:t>Appleton,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 w:right="79"/>
      </w:pPr>
      <w:r>
        <w:rPr>
          <w:w w:val="105"/>
        </w:rPr>
        <w:t>Led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4</w:t>
      </w:r>
      <w:r>
        <w:rPr>
          <w:spacing w:val="-1"/>
          <w:w w:val="105"/>
        </w:rPr>
        <w:t> </w:t>
      </w:r>
      <w:r>
        <w:rPr>
          <w:w w:val="105"/>
        </w:rPr>
        <w:t>developers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warehouse</w:t>
      </w:r>
      <w:r>
        <w:rPr>
          <w:spacing w:val="-1"/>
          <w:w w:val="105"/>
        </w:rPr>
        <w:t> </w:t>
      </w:r>
      <w:r>
        <w:rPr>
          <w:w w:val="105"/>
        </w:rPr>
        <w:t>redesign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1"/>
          <w:w w:val="105"/>
        </w:rPr>
        <w:t> </w:t>
      </w:r>
      <w:r>
        <w:rPr>
          <w:w w:val="105"/>
        </w:rPr>
        <w:t>ﬁnished</w:t>
      </w:r>
      <w:r>
        <w:rPr>
          <w:spacing w:val="-1"/>
          <w:w w:val="105"/>
        </w:rPr>
        <w:t> </w:t>
      </w:r>
      <w:r>
        <w:rPr>
          <w:w w:val="105"/>
        </w:rPr>
        <w:t>$68,410</w:t>
      </w:r>
      <w:r>
        <w:rPr>
          <w:spacing w:val="-1"/>
          <w:w w:val="105"/>
        </w:rPr>
        <w:t> </w:t>
      </w:r>
      <w:r>
        <w:rPr>
          <w:w w:val="105"/>
        </w:rPr>
        <w:t>under the $427,000 project budget by standardizing reusable migration scripts.</w:t>
      </w:r>
    </w:p>
    <w:p>
      <w:pPr>
        <w:pStyle w:val="BodyText"/>
        <w:spacing w:line="273" w:lineRule="auto"/>
        <w:ind w:left="776"/>
      </w:pPr>
      <w:r>
        <w:rPr>
          <w:w w:val="105"/>
        </w:rPr>
        <w:t>Administered 8 database environments across Oracle and SQL Server, coordinating quarterly patching cycles that averaged 43 minutes of downtime per </w:t>
      </w:r>
      <w:r>
        <w:rPr>
          <w:spacing w:val="-2"/>
          <w:w w:val="105"/>
        </w:rPr>
        <w:t>server.</w:t>
      </w:r>
    </w:p>
    <w:p>
      <w:pPr>
        <w:pStyle w:val="BodyText"/>
        <w:spacing w:line="273" w:lineRule="auto"/>
        <w:ind w:left="776"/>
      </w:pPr>
      <w:r>
        <w:rPr>
          <w:w w:val="105"/>
        </w:rPr>
        <w:t>Built</w:t>
      </w:r>
      <w:r>
        <w:rPr>
          <w:spacing w:val="-2"/>
          <w:w w:val="105"/>
        </w:rPr>
        <w:t> </w:t>
      </w:r>
      <w:r>
        <w:rPr>
          <w:w w:val="105"/>
        </w:rPr>
        <w:t>17</w:t>
      </w:r>
      <w:r>
        <w:rPr>
          <w:spacing w:val="-2"/>
          <w:w w:val="105"/>
        </w:rPr>
        <w:t> </w:t>
      </w:r>
      <w:r>
        <w:rPr>
          <w:w w:val="105"/>
        </w:rPr>
        <w:t>SSIS</w:t>
      </w:r>
      <w:r>
        <w:rPr>
          <w:spacing w:val="-2"/>
          <w:w w:val="105"/>
        </w:rPr>
        <w:t> </w:t>
      </w:r>
      <w:r>
        <w:rPr>
          <w:w w:val="105"/>
        </w:rPr>
        <w:t>packages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consolidate</w:t>
      </w:r>
      <w:r>
        <w:rPr>
          <w:spacing w:val="-2"/>
          <w:w w:val="105"/>
        </w:rPr>
        <w:t> </w:t>
      </w:r>
      <w:r>
        <w:rPr>
          <w:w w:val="105"/>
        </w:rPr>
        <w:t>data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6</w:t>
      </w:r>
      <w:r>
        <w:rPr>
          <w:spacing w:val="-2"/>
          <w:w w:val="105"/>
        </w:rPr>
        <w:t> </w:t>
      </w:r>
      <w:r>
        <w:rPr>
          <w:w w:val="105"/>
        </w:rPr>
        <w:t>source</w:t>
      </w:r>
      <w:r>
        <w:rPr>
          <w:spacing w:val="-2"/>
          <w:w w:val="105"/>
        </w:rPr>
        <w:t> </w:t>
      </w:r>
      <w:r>
        <w:rPr>
          <w:w w:val="105"/>
        </w:rPr>
        <w:t>systems</w:t>
      </w:r>
      <w:r>
        <w:rPr>
          <w:spacing w:val="-2"/>
          <w:w w:val="105"/>
        </w:rPr>
        <w:t> </w:t>
      </w:r>
      <w:r>
        <w:rPr>
          <w:w w:val="105"/>
        </w:rPr>
        <w:t>into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single reporting warehouse, supporting ﬁnance and operations stakeholders.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Authored deployment runbooks and SDLC documentation for 23 production releases, reducing post-deployment rollback incidents from 4 to 1 per quarter.</w:t>
      </w:r>
    </w:p>
    <w:p>
      <w:pPr>
        <w:pStyle w:val="BodyText"/>
        <w:spacing w:before="11"/>
      </w:pPr>
    </w:p>
    <w:p>
      <w:pPr>
        <w:pStyle w:val="BodyText"/>
        <w:spacing w:before="1"/>
        <w:ind w:left="107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2017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Junior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SQL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Developer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Northwoods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Creek</w:t>
      </w:r>
      <w:r>
        <w:rPr>
          <w:w w:val="105"/>
        </w:rPr>
        <w:t> </w:t>
      </w:r>
      <w:r>
        <w:rPr>
          <w:spacing w:val="-2"/>
          <w:w w:val="105"/>
        </w:rPr>
        <w:t>Technologies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LLC,</w:t>
      </w:r>
      <w:r>
        <w:rPr>
          <w:w w:val="105"/>
        </w:rPr>
        <w:t> </w:t>
      </w:r>
      <w:r>
        <w:rPr>
          <w:spacing w:val="-2"/>
          <w:w w:val="105"/>
        </w:rPr>
        <w:t>Green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Bay,</w:t>
      </w:r>
      <w:r>
        <w:rPr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3443" w:space="965"/>
            <w:col w:w="6946"/>
          </w:cols>
        </w:sectPr>
      </w:pPr>
    </w:p>
    <w:p>
      <w:pPr>
        <w:pStyle w:val="BodyText"/>
        <w:spacing w:before="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232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324100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324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530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305425">
                                <a:moveTo>
                                  <a:pt x="47625" y="5278259"/>
                                </a:moveTo>
                                <a:lnTo>
                                  <a:pt x="27165" y="5257800"/>
                                </a:lnTo>
                                <a:lnTo>
                                  <a:pt x="20472" y="5257800"/>
                                </a:lnTo>
                                <a:lnTo>
                                  <a:pt x="0" y="5278259"/>
                                </a:lnTo>
                                <a:lnTo>
                                  <a:pt x="0" y="5281841"/>
                                </a:lnTo>
                                <a:lnTo>
                                  <a:pt x="0" y="5284965"/>
                                </a:lnTo>
                                <a:lnTo>
                                  <a:pt x="20472" y="5305425"/>
                                </a:lnTo>
                                <a:lnTo>
                                  <a:pt x="27165" y="5305425"/>
                                </a:lnTo>
                                <a:lnTo>
                                  <a:pt x="47625" y="5284965"/>
                                </a:lnTo>
                                <a:lnTo>
                                  <a:pt x="47625" y="5278259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4954422"/>
                                </a:moveTo>
                                <a:lnTo>
                                  <a:pt x="27165" y="4933950"/>
                                </a:lnTo>
                                <a:lnTo>
                                  <a:pt x="20472" y="4933950"/>
                                </a:lnTo>
                                <a:lnTo>
                                  <a:pt x="0" y="4954422"/>
                                </a:lnTo>
                                <a:lnTo>
                                  <a:pt x="0" y="4957991"/>
                                </a:lnTo>
                                <a:lnTo>
                                  <a:pt x="0" y="4961115"/>
                                </a:lnTo>
                                <a:lnTo>
                                  <a:pt x="20472" y="4981575"/>
                                </a:lnTo>
                                <a:lnTo>
                                  <a:pt x="27165" y="4981575"/>
                                </a:lnTo>
                                <a:lnTo>
                                  <a:pt x="47625" y="4961115"/>
                                </a:lnTo>
                                <a:lnTo>
                                  <a:pt x="47625" y="4954422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4621047"/>
                                </a:moveTo>
                                <a:lnTo>
                                  <a:pt x="27165" y="4600575"/>
                                </a:lnTo>
                                <a:lnTo>
                                  <a:pt x="20472" y="4600575"/>
                                </a:lnTo>
                                <a:lnTo>
                                  <a:pt x="0" y="4621047"/>
                                </a:lnTo>
                                <a:lnTo>
                                  <a:pt x="0" y="4624616"/>
                                </a:lnTo>
                                <a:lnTo>
                                  <a:pt x="0" y="4627740"/>
                                </a:lnTo>
                                <a:lnTo>
                                  <a:pt x="20472" y="4648200"/>
                                </a:lnTo>
                                <a:lnTo>
                                  <a:pt x="27165" y="4648200"/>
                                </a:lnTo>
                                <a:lnTo>
                                  <a:pt x="47625" y="4627740"/>
                                </a:lnTo>
                                <a:lnTo>
                                  <a:pt x="47625" y="4621047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3011322"/>
                                </a:moveTo>
                                <a:lnTo>
                                  <a:pt x="27165" y="2990850"/>
                                </a:lnTo>
                                <a:lnTo>
                                  <a:pt x="20472" y="2990850"/>
                                </a:lnTo>
                                <a:lnTo>
                                  <a:pt x="0" y="3011322"/>
                                </a:lnTo>
                                <a:lnTo>
                                  <a:pt x="0" y="3014891"/>
                                </a:lnTo>
                                <a:lnTo>
                                  <a:pt x="0" y="3018015"/>
                                </a:lnTo>
                                <a:lnTo>
                                  <a:pt x="20472" y="3038475"/>
                                </a:lnTo>
                                <a:lnTo>
                                  <a:pt x="27165" y="3038475"/>
                                </a:lnTo>
                                <a:lnTo>
                                  <a:pt x="47625" y="3018015"/>
                                </a:lnTo>
                                <a:lnTo>
                                  <a:pt x="47625" y="3011322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1858797"/>
                                </a:moveTo>
                                <a:lnTo>
                                  <a:pt x="27165" y="1838325"/>
                                </a:lnTo>
                                <a:lnTo>
                                  <a:pt x="20472" y="1838325"/>
                                </a:lnTo>
                                <a:lnTo>
                                  <a:pt x="0" y="1858797"/>
                                </a:lnTo>
                                <a:lnTo>
                                  <a:pt x="0" y="1862366"/>
                                </a:lnTo>
                                <a:lnTo>
                                  <a:pt x="0" y="1865490"/>
                                </a:lnTo>
                                <a:lnTo>
                                  <a:pt x="20472" y="1885950"/>
                                </a:lnTo>
                                <a:lnTo>
                                  <a:pt x="27165" y="1885950"/>
                                </a:lnTo>
                                <a:lnTo>
                                  <a:pt x="47625" y="1865490"/>
                                </a:lnTo>
                                <a:lnTo>
                                  <a:pt x="47625" y="1858797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940460"/>
                                </a:moveTo>
                                <a:lnTo>
                                  <a:pt x="31102" y="923925"/>
                                </a:lnTo>
                                <a:lnTo>
                                  <a:pt x="16535" y="923925"/>
                                </a:lnTo>
                                <a:lnTo>
                                  <a:pt x="0" y="940460"/>
                                </a:lnTo>
                                <a:lnTo>
                                  <a:pt x="0" y="942975"/>
                                </a:lnTo>
                                <a:lnTo>
                                  <a:pt x="0" y="945502"/>
                                </a:lnTo>
                                <a:lnTo>
                                  <a:pt x="16535" y="962025"/>
                                </a:lnTo>
                                <a:lnTo>
                                  <a:pt x="31102" y="962025"/>
                                </a:lnTo>
                                <a:lnTo>
                                  <a:pt x="47625" y="945502"/>
                                </a:lnTo>
                                <a:lnTo>
                                  <a:pt x="47625" y="940460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5305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7280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660" id="docshape8" coordorigin="765,7560" coordsize="75,3660" path="m840,11177l839,11172,835,11163,833,11159,826,11152,822,11150,813,11146,808,11145,797,11145,792,11146,783,11150,779,11152,772,11159,770,11163,766,11172,765,11177,765,11183,765,11188,766,11193,770,11202,772,11206,779,11213,783,11215,792,11219,797,11220,808,11220,813,11219,822,11215,826,11213,833,11206,835,11202,839,11193,840,11188,840,11177xm840,10862l839,10857,835,10848,833,10844,826,10837,822,10835,813,10831,808,10830,797,10830,792,10831,783,10835,779,10837,772,10844,770,10848,766,10857,765,10862,765,10868,765,10873,766,10878,770,10887,772,10891,779,10898,783,10900,792,10904,797,10905,808,10905,813,10904,822,10900,826,10898,833,10891,835,10887,839,10878,840,10873,840,10862x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8355" id="docshape9" coordorigin="5175,4710" coordsize="75,8355" path="m5250,13022l5249,13017,5245,13008,5243,13004,5236,12997,5232,12995,5223,12991,5218,12990,5207,12990,5202,12991,5193,12995,5189,12997,5182,13004,5180,13008,5176,13017,5175,13022,5175,13028,5175,13033,5176,13038,5180,13047,5182,13051,5189,13058,5193,13060,5202,13064,5207,13065,5218,13065,5223,13064,5232,13060,5236,13058,5243,13051,5245,13047,5249,13038,5250,13033,5250,13022xm5250,12512l5249,12507,5245,12498,5243,12494,5236,12487,5232,12485,5223,12481,5218,12480,5207,12480,5202,12481,5193,12485,5189,12487,5182,12494,5180,12498,5176,12507,5175,12512,5175,12518,5175,12523,5176,12528,5180,12537,5182,12541,5189,12548,5193,12550,5202,12554,5207,12555,5218,12555,5223,12554,5232,12550,5236,12548,5243,12541,5245,12537,5249,12528,5250,12523,5250,12512xm5250,11987l5249,11982,5245,11973,5243,11969,5236,11962,5232,11960,5223,11956,5218,11955,5207,11955,5202,11956,5193,11960,5189,11962,5182,11969,5180,11973,5176,11982,5175,11987,5175,11993,5175,11998,5176,12003,5180,12012,5182,12016,5189,12023,5193,12025,5202,12029,5207,12030,5218,12030,5223,12029,5232,12025,5236,12023,5243,12016,5245,12012,5249,12003,5250,11998,5250,11987xm5250,10682l5249,10677,5245,10668,5243,10664,5236,10657,5232,10655,5223,10651,5218,10650,5207,10650,5202,10651,5193,10655,5189,10657,5182,10664,5180,10668,5176,10677,5175,10682,5175,10688,5175,10693,5176,10698,5180,10707,5182,10711,5189,10718,5193,10720,5202,10724,5207,10725,5218,10725,5223,10724,5232,10720,5236,10718,5243,10711,5245,10707,5249,10698,5250,10693,5250,10682xm5250,10172l5249,10167,5245,10158,5243,10154,5236,10147,5232,10145,5223,10141,5218,10140,5207,10140,5202,10141,5193,10145,5189,10147,5182,10154,5180,10158,5176,10167,5175,10172,5175,10178,5175,10183,5176,10188,5180,10197,5182,10201,5189,10208,5193,10210,5202,10214,5207,10215,5218,10215,5223,10214,5232,10210,5236,10208,5243,10201,5245,10197,5249,10188,5250,10183,5250,10172xm5250,9452l5249,9447,5245,9438,5243,9434,5236,9427,5232,9425,5223,9421,5218,9420,5207,9420,5202,9421,5193,9425,5189,9427,5182,9434,5180,9438,5176,9447,5175,9452,5175,9458,5175,9463,5176,9468,5180,9477,5182,9481,5189,9488,5193,9490,5202,9494,5207,9495,5218,9495,5223,9494,5232,9490,5236,9488,5243,9481,5245,9477,5249,9468,5250,9463,5250,9452xm5250,8942l5249,8937,5245,8928,5243,8924,5236,8917,5232,8915,5223,8911,5218,8910,5207,8910,5202,8911,5193,8915,5189,8917,5182,8924,5180,8928,5176,8937,5175,8942,5175,8948,5175,8953,5176,8958,5180,8967,5182,8971,5189,8978,5193,8980,5202,8984,5207,8985,5218,8985,5223,8984,5232,8980,5236,8978,5243,8971,5245,8967,5249,8958,5250,8953,5250,8942xm5250,7637l5249,7632,5245,7623,5243,7619,5236,7612,5232,7610,5223,7606,5218,7605,5207,7605,5202,7606,5193,7610,5189,7612,5182,7619,5180,7623,5176,7632,5175,7637,5175,7643,5175,7648,5176,7653,5180,7662,5182,7666,5189,7673,5193,7675,5202,7679,5207,7680,5218,7680,5223,7679,5232,7675,5236,7673,5243,7666,5245,7662,5249,7653,5250,7648,5250,7637xm5250,6917l5249,6912,5245,6903,5243,6899,5236,6892,5232,6890,5223,6886,5218,6885,5207,6885,5202,6886,5193,6890,5189,6892,5182,6899,5180,6903,5176,6912,5175,6917,5175,6923,5175,6928,5176,6933,5180,6942,5182,6946,5189,6953,5193,6955,5202,6959,5207,6960,5218,6960,5223,6959,5232,6955,5236,6953,5243,6946,5245,6942,5249,6933,5250,6928,5250,6917xm5250,6191l5249,6187,5246,6180,5244,6177,5238,6171,5235,6169,5228,6166,5224,6165,5201,6165,5197,6166,5190,6169,5187,6171,5181,6177,5179,6180,5176,6187,5175,6191,5175,6195,5175,6199,5176,6203,5179,6210,5181,6213,5187,6219,5190,6221,5197,6224,5201,6225,5224,6225,5228,6224,5235,6221,5238,6219,5244,6213,5246,6210,5249,6203,5250,6199,5250,619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3" w:lineRule="auto" w:before="0"/>
        <w:ind w:left="5184" w:right="95"/>
      </w:pPr>
      <w:r>
        <w:rPr>
          <w:w w:val="105"/>
        </w:rPr>
        <w:t>Managed 5 SQL Server database environments for an internal logistics application, handling schema</w:t>
      </w:r>
      <w:r>
        <w:rPr>
          <w:spacing w:val="1"/>
          <w:w w:val="105"/>
        </w:rPr>
        <w:t> </w:t>
      </w:r>
      <w:r>
        <w:rPr>
          <w:w w:val="105"/>
        </w:rPr>
        <w:t>updates and</w:t>
      </w:r>
      <w:r>
        <w:rPr>
          <w:spacing w:val="1"/>
          <w:w w:val="105"/>
        </w:rPr>
        <w:t> </w:t>
      </w:r>
      <w:r>
        <w:rPr>
          <w:w w:val="105"/>
        </w:rPr>
        <w:t>index maintenance</w:t>
      </w:r>
      <w:r>
        <w:rPr>
          <w:spacing w:val="1"/>
          <w:w w:val="105"/>
        </w:rPr>
        <w:t> </w:t>
      </w:r>
      <w:r>
        <w:rPr>
          <w:w w:val="105"/>
        </w:rPr>
        <w:t>across 130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tables.</w:t>
      </w:r>
    </w:p>
    <w:p>
      <w:pPr>
        <w:pStyle w:val="BodyText"/>
        <w:spacing w:line="273" w:lineRule="auto" w:before="105"/>
        <w:ind w:left="5184"/>
      </w:pPr>
      <w:r>
        <w:rPr>
          <w:w w:val="105"/>
        </w:rPr>
        <w:t>Mentored</w:t>
      </w:r>
      <w:r>
        <w:rPr>
          <w:spacing w:val="-1"/>
          <w:w w:val="105"/>
        </w:rPr>
        <w:t> </w:t>
      </w:r>
      <w:r>
        <w:rPr>
          <w:w w:val="105"/>
        </w:rPr>
        <w:t>2</w:t>
      </w:r>
      <w:r>
        <w:rPr>
          <w:spacing w:val="-1"/>
          <w:w w:val="105"/>
        </w:rPr>
        <w:t> </w:t>
      </w:r>
      <w:r>
        <w:rPr>
          <w:w w:val="105"/>
        </w:rPr>
        <w:t>interns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T-SQL</w:t>
      </w:r>
      <w:r>
        <w:rPr>
          <w:spacing w:val="-1"/>
          <w:w w:val="105"/>
        </w:rPr>
        <w:t> </w:t>
      </w:r>
      <w:r>
        <w:rPr>
          <w:w w:val="105"/>
        </w:rPr>
        <w:t>coding</w:t>
      </w:r>
      <w:r>
        <w:rPr>
          <w:spacing w:val="-1"/>
          <w:w w:val="105"/>
        </w:rPr>
        <w:t> </w:t>
      </w:r>
      <w:r>
        <w:rPr>
          <w:w w:val="105"/>
        </w:rPr>
        <w:t>standards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Git</w:t>
      </w:r>
      <w:r>
        <w:rPr>
          <w:spacing w:val="-1"/>
          <w:w w:val="105"/>
        </w:rPr>
        <w:t> </w:t>
      </w:r>
      <w:r>
        <w:rPr>
          <w:w w:val="105"/>
        </w:rPr>
        <w:t>branching</w:t>
      </w:r>
      <w:r>
        <w:rPr>
          <w:spacing w:val="-1"/>
          <w:w w:val="105"/>
        </w:rPr>
        <w:t> </w:t>
      </w:r>
      <w:r>
        <w:rPr>
          <w:w w:val="105"/>
        </w:rPr>
        <w:t>workﬂows,</w:t>
      </w:r>
      <w:r>
        <w:rPr>
          <w:spacing w:val="-1"/>
          <w:w w:val="105"/>
        </w:rPr>
        <w:t> </w:t>
      </w:r>
      <w:r>
        <w:rPr>
          <w:w w:val="105"/>
        </w:rPr>
        <w:t>both of whom received full-time offers within 6 months.</w:t>
      </w:r>
    </w:p>
    <w:p>
      <w:pPr>
        <w:pStyle w:val="BodyText"/>
        <w:spacing w:line="273" w:lineRule="auto"/>
        <w:ind w:left="5184" w:right="95"/>
      </w:pPr>
      <w:r>
        <w:rPr>
          <w:w w:val="105"/>
        </w:rPr>
        <w:t>Created 9 stored procedures supporting GDPR-compliant data retention policies, automating purge cycles that had previously taken the team 12 hours per month to run manually.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2857499</wp:posOffset>
                </wp:positionH>
                <wp:positionV relativeFrom="paragraph">
                  <wp:posOffset>162496</wp:posOffset>
                </wp:positionV>
                <wp:extent cx="4524375" cy="26670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2.79498pt;width:356.25pt;height:21pt;mso-position-horizontal-relative:page;mso-position-vertical-relative:paragraph;z-index:-15728128;mso-wrap-distance-left:0;mso-wrap-distance-right:0" type="#_x0000_t202" id="docshape12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80"/>
        <w:ind w:left="4515"/>
      </w:pPr>
      <w:r>
        <w:rPr>
          <w:w w:val="105"/>
        </w:rPr>
        <w:t>BS,</w:t>
      </w:r>
      <w:r>
        <w:rPr>
          <w:spacing w:val="-10"/>
          <w:w w:val="105"/>
        </w:rPr>
        <w:t> </w:t>
      </w:r>
      <w:r>
        <w:rPr>
          <w:w w:val="105"/>
        </w:rPr>
        <w:t>Computer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116"/>
        <w:ind w:left="4515"/>
      </w:pPr>
      <w:r>
        <w:rPr>
          <w:spacing w:val="-2"/>
          <w:w w:val="105"/>
        </w:rPr>
        <w:t>University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Wisconsin-Green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Bay,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Green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Bay,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WI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2010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2014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41" w:right="36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revor.radcliff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2026-10-08T11:35:34Z</dcterms:created>
  <dcterms:modified xsi:type="dcterms:W3CDTF">2026-10-08T11:35:34Z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