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4" w:lineRule="exact" w:before="0"/>
        <w:ind w:left="4006" w:right="0" w:firstLine="0"/>
        <w:jc w:val="left"/>
        <w:rPr>
          <w:sz w:val="74"/>
        </w:rPr>
      </w:pPr>
      <w:r>
        <w:rPr>
          <w:b/>
          <w:color w:val="FFFFFF"/>
          <w:spacing w:val="10"/>
          <w:sz w:val="74"/>
        </w:rPr>
        <w:t>Hiro</w:t>
      </w:r>
      <w:r>
        <w:rPr>
          <w:b/>
          <w:color w:val="FFFFFF"/>
          <w:spacing w:val="32"/>
          <w:sz w:val="74"/>
        </w:rPr>
        <w:t> </w:t>
      </w:r>
      <w:r>
        <w:rPr>
          <w:color w:val="FFFFFF"/>
          <w:spacing w:val="10"/>
          <w:sz w:val="74"/>
        </w:rPr>
        <w:t>Goldstein</w:t>
      </w:r>
    </w:p>
    <w:p>
      <w:pPr>
        <w:pStyle w:val="Heading2"/>
      </w:pPr>
      <w:r>
        <w:rPr>
          <w:color w:val="FFFFFF"/>
        </w:rPr>
        <w:t>Mortgage</w:t>
      </w:r>
      <w:r>
        <w:rPr>
          <w:color w:val="FFFFFF"/>
          <w:spacing w:val="2"/>
        </w:rPr>
        <w:t> </w:t>
      </w:r>
      <w:r>
        <w:rPr>
          <w:color w:val="FFFFFF"/>
        </w:rPr>
        <w:t>Loan</w:t>
      </w:r>
      <w:r>
        <w:rPr>
          <w:color w:val="FFFFFF"/>
          <w:spacing w:val="3"/>
        </w:rPr>
        <w:t> </w:t>
      </w:r>
      <w:r>
        <w:rPr>
          <w:color w:val="FFFFFF"/>
          <w:spacing w:val="-2"/>
        </w:rPr>
        <w:t>Processor</w:t>
      </w:r>
    </w:p>
    <w:p>
      <w:pPr>
        <w:spacing w:line="273" w:lineRule="auto" w:before="178"/>
        <w:ind w:left="4006" w:right="825" w:firstLine="0"/>
        <w:jc w:val="left"/>
        <w:rPr>
          <w:sz w:val="16"/>
        </w:rPr>
      </w:pPr>
      <w:r>
        <w:rPr>
          <w:color w:val="FFFFFF"/>
          <w:w w:val="105"/>
          <w:sz w:val="16"/>
        </w:rPr>
        <w:t>Mortgage loan processor with 6 years of experience managing FHA, VA, and conventional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loan pipelines using Encompass, DocMagic, and DU and LP automated underwriting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systems.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Improved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customer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retention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rate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by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7.5%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by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calling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borrowers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at</w:t>
      </w:r>
      <w:r>
        <w:rPr>
          <w:color w:val="FFFFFF"/>
          <w:spacing w:val="32"/>
          <w:w w:val="105"/>
          <w:sz w:val="16"/>
        </w:rPr>
        <w:t> </w:t>
      </w:r>
      <w:r>
        <w:rPr>
          <w:color w:val="FFFFFF"/>
          <w:w w:val="105"/>
          <w:sz w:val="16"/>
        </w:rPr>
        <w:t>each milestone,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answering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condition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questions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within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2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hours,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and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sending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status</w:t>
      </w:r>
      <w:r>
        <w:rPr>
          <w:color w:val="FFFFFF"/>
          <w:spacing w:val="36"/>
          <w:w w:val="105"/>
          <w:sz w:val="16"/>
        </w:rPr>
        <w:t> </w:t>
      </w:r>
      <w:r>
        <w:rPr>
          <w:color w:val="FFFFFF"/>
          <w:w w:val="105"/>
          <w:sz w:val="16"/>
        </w:rPr>
        <w:t>updates through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Encompass.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Recovered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$37,430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in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pending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documentation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fees</w:t>
      </w:r>
      <w:r>
        <w:rPr>
          <w:color w:val="FFFFFF"/>
          <w:spacing w:val="40"/>
          <w:w w:val="105"/>
          <w:sz w:val="16"/>
        </w:rPr>
        <w:t> </w:t>
      </w:r>
      <w:r>
        <w:rPr>
          <w:color w:val="FFFFFF"/>
          <w:w w:val="105"/>
          <w:sz w:val="16"/>
        </w:rPr>
        <w:t>through consistent past-due follow-up calls across a 12-month period.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8"/>
        <w:rPr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2571749</wp:posOffset>
                </wp:positionH>
                <wp:positionV relativeFrom="paragraph">
                  <wp:posOffset>57671</wp:posOffset>
                </wp:positionV>
                <wp:extent cx="4996815" cy="29527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996815" cy="295275"/>
                          <a:chExt cx="4996815" cy="2952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5749" y="0"/>
                            <a:ext cx="4711065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065" h="295275">
                                <a:moveTo>
                                  <a:pt x="0" y="295274"/>
                                </a:moveTo>
                                <a:lnTo>
                                  <a:pt x="4710683" y="295274"/>
                                </a:lnTo>
                                <a:lnTo>
                                  <a:pt x="4710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85750" cy="295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95275">
                                <a:moveTo>
                                  <a:pt x="285749" y="295274"/>
                                </a:moveTo>
                                <a:lnTo>
                                  <a:pt x="0" y="295274"/>
                                </a:lnTo>
                                <a:lnTo>
                                  <a:pt x="0" y="0"/>
                                </a:lnTo>
                                <a:lnTo>
                                  <a:pt x="285749" y="0"/>
                                </a:lnTo>
                                <a:lnTo>
                                  <a:pt x="285749" y="2952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4996815" cy="2952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45"/>
                                <w:ind w:left="636" w:right="0" w:firstLine="0"/>
                                <w:jc w:val="lef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4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color w:val="FFFFFF"/>
                                  <w:spacing w:val="-1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4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02.499985pt;margin-top:4.5411pt;width:393.45pt;height:23.25pt;mso-position-horizontal-relative:page;mso-position-vertical-relative:paragraph;z-index:15729152" id="docshapegroup1" coordorigin="4050,91" coordsize="7869,465">
                <v:rect style="position:absolute;left:4500;top:90;width:7419;height:465" id="docshape2" filled="true" fillcolor="#424242" stroked="false">
                  <v:fill type="solid"/>
                </v:rect>
                <v:rect style="position:absolute;left:4050;top:90;width:450;height:465" id="docshape3" filled="true" fillcolor="#c18f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4050;top:90;width:7869;height:465" type="#_x0000_t202" id="docshape4" filled="false" stroked="false">
                  <v:textbox inset="0,0,0,0">
                    <w:txbxContent>
                      <w:p>
                        <w:pPr>
                          <w:spacing w:before="45"/>
                          <w:ind w:left="636" w:right="0" w:firstLine="0"/>
                          <w:jc w:val="lef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FFFFFF"/>
                            <w:sz w:val="24"/>
                          </w:rPr>
                          <w:t>Professional</w:t>
                        </w:r>
                        <w:r>
                          <w:rPr>
                            <w:b/>
                            <w:color w:val="FFFFFF"/>
                            <w:spacing w:val="-11"/>
                            <w:sz w:val="24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4"/>
                          </w:rPr>
                          <w:t>Experience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Contact</w:t>
      </w:r>
      <w:r>
        <w:rPr>
          <w:color w:val="424242"/>
          <w:spacing w:val="-6"/>
        </w:rPr>
        <w:t> </w:t>
      </w:r>
      <w:r>
        <w:rPr>
          <w:color w:val="424242"/>
          <w:spacing w:val="-2"/>
        </w:rPr>
        <w:t>Information</w:t>
      </w:r>
    </w:p>
    <w:p>
      <w:pPr>
        <w:pStyle w:val="BodyText"/>
        <w:spacing w:before="15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880" w:bottom="280" w:left="141" w:right="0"/>
        </w:sectPr>
      </w:pPr>
    </w:p>
    <w:p>
      <w:pPr>
        <w:pStyle w:val="BodyText"/>
        <w:spacing w:before="75"/>
        <w:ind w:left="1030"/>
      </w:pPr>
      <w:r>
        <w:rPr/>
        <w:t>(410)</w:t>
      </w:r>
      <w:r>
        <w:rPr>
          <w:spacing w:val="16"/>
        </w:rPr>
        <w:t> </w:t>
      </w:r>
      <w:r>
        <w:rPr/>
        <w:t>555-</w:t>
      </w:r>
      <w:r>
        <w:rPr>
          <w:spacing w:val="-4"/>
        </w:rPr>
        <w:t>0111</w:t>
      </w:r>
    </w:p>
    <w:p>
      <w:pPr>
        <w:pStyle w:val="BodyText"/>
        <w:spacing w:before="171"/>
      </w:pPr>
    </w:p>
    <w:p>
      <w:pPr>
        <w:pStyle w:val="BodyText"/>
        <w:ind w:left="1030"/>
      </w:pPr>
      <w:hyperlink r:id="rId5">
        <w:r>
          <w:rPr>
            <w:spacing w:val="-2"/>
          </w:rPr>
          <w:t>hiro.goldstein@example.com</w:t>
        </w:r>
      </w:hyperlink>
    </w:p>
    <w:p>
      <w:pPr>
        <w:pStyle w:val="BodyText"/>
        <w:spacing w:line="268" w:lineRule="auto" w:before="108"/>
        <w:ind w:left="666" w:right="116"/>
      </w:pPr>
      <w:r>
        <w:rPr/>
        <w:br w:type="column"/>
      </w:r>
      <w:r>
        <w:rPr/>
        <w:t>MORTGAGE LOAN PROCESSOR </w:t>
      </w:r>
      <w:r>
        <w:rPr>
          <w:position w:val="2"/>
        </w:rPr>
        <w:t>| </w:t>
      </w:r>
      <w:r>
        <w:rPr/>
        <w:t>WICOMICO BAY MORTGAGE GROUP, SALISBURY, </w:t>
      </w:r>
      <w:r>
        <w:rPr>
          <w:spacing w:val="-6"/>
        </w:rPr>
        <w:t>MD</w:t>
      </w:r>
    </w:p>
    <w:p>
      <w:pPr>
        <w:pStyle w:val="BodyText"/>
        <w:spacing w:line="200" w:lineRule="exact"/>
        <w:ind w:left="666"/>
      </w:pPr>
      <w:r>
        <w:rPr/>
        <w:t>2023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 w:line="200" w:lineRule="exact"/>
        <w:sectPr>
          <w:type w:val="continuous"/>
          <w:pgSz w:w="11920" w:h="16860"/>
          <w:pgMar w:top="880" w:bottom="280" w:left="141" w:right="0"/>
          <w:cols w:num="2" w:equalWidth="0">
            <w:col w:w="3431" w:space="40"/>
            <w:col w:w="8308"/>
          </w:cols>
        </w:sectPr>
      </w:pPr>
    </w:p>
    <w:p>
      <w:pPr>
        <w:pStyle w:val="BodyText"/>
        <w:spacing w:before="186"/>
      </w:pPr>
    </w:p>
    <w:p>
      <w:pPr>
        <w:pStyle w:val="BodyText"/>
        <w:ind w:left="1030"/>
      </w:pPr>
      <w:r>
        <w:rPr/>
        <w:t>Salisbury,</w:t>
      </w:r>
      <w:r>
        <w:rPr>
          <w:spacing w:val="5"/>
        </w:rPr>
        <w:t> </w:t>
      </w:r>
      <w:r>
        <w:rPr/>
        <w:t>MD</w:t>
      </w:r>
      <w:r>
        <w:rPr>
          <w:spacing w:val="6"/>
        </w:rPr>
        <w:t> </w:t>
      </w:r>
      <w:r>
        <w:rPr>
          <w:spacing w:val="-2"/>
        </w:rPr>
        <w:t>12345</w:t>
      </w:r>
    </w:p>
    <w:p>
      <w:pPr>
        <w:pStyle w:val="BodyText"/>
        <w:spacing w:before="189"/>
      </w:pPr>
    </w:p>
    <w:p>
      <w:pPr>
        <w:pStyle w:val="Heading1"/>
        <w:spacing w:before="1"/>
      </w:pPr>
      <w:r>
        <w:rPr>
          <w:color w:val="424242"/>
          <w:spacing w:val="-2"/>
        </w:rPr>
        <w:t>Education</w:t>
      </w:r>
    </w:p>
    <w:p>
      <w:pPr>
        <w:pStyle w:val="BodyText"/>
        <w:spacing w:before="14"/>
        <w:rPr>
          <w:b/>
          <w:sz w:val="24"/>
        </w:rPr>
      </w:pPr>
    </w:p>
    <w:p>
      <w:pPr>
        <w:pStyle w:val="BodyText"/>
        <w:ind w:left="379"/>
      </w:pPr>
      <w:r>
        <w:rPr>
          <w:w w:val="105"/>
        </w:rPr>
        <w:t>Bachelor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w w:val="105"/>
        </w:rPr>
        <w:t>Science</w:t>
      </w:r>
      <w:r>
        <w:rPr>
          <w:spacing w:val="-9"/>
          <w:w w:val="105"/>
        </w:rPr>
        <w:t> </w: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Finance</w:t>
      </w:r>
    </w:p>
    <w:p>
      <w:pPr>
        <w:pStyle w:val="BodyText"/>
        <w:spacing w:before="51"/>
      </w:pPr>
    </w:p>
    <w:p>
      <w:pPr>
        <w:pStyle w:val="BodyText"/>
        <w:spacing w:line="261" w:lineRule="auto"/>
        <w:ind w:left="379"/>
      </w:pPr>
      <w:r>
        <w:rPr/>
        <w:t>Salisbury University, Salisbury, MD | 2016 – 2020</w:t>
      </w:r>
    </w:p>
    <w:p>
      <w:pPr>
        <w:pStyle w:val="BodyText"/>
        <w:spacing w:before="20"/>
      </w:pPr>
    </w:p>
    <w:p>
      <w:pPr>
        <w:pStyle w:val="Heading1"/>
      </w:pPr>
      <w:r>
        <w:rPr>
          <w:color w:val="424242"/>
        </w:rPr>
        <w:t>Key</w:t>
      </w:r>
      <w:r>
        <w:rPr>
          <w:color w:val="424242"/>
          <w:spacing w:val="-2"/>
        </w:rPr>
        <w:t> Skills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219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Encompass</w:t>
      </w:r>
      <w:r>
        <w:rPr>
          <w:spacing w:val="30"/>
          <w:sz w:val="18"/>
        </w:rPr>
        <w:t> </w:t>
      </w:r>
      <w:r>
        <w:rPr>
          <w:spacing w:val="-5"/>
          <w:sz w:val="18"/>
        </w:rPr>
        <w:t>LOS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226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DocMagic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46" w:after="0"/>
        <w:ind w:left="658" w:right="313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Improved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customer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retention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rate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7.5%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over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months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calling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borrowers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at each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milestone,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answering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condition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questions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2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hours,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sending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status</w:t>
      </w:r>
    </w:p>
    <w:p>
      <w:pPr>
        <w:pStyle w:val="BodyText"/>
        <w:spacing w:before="42"/>
        <w:ind w:left="658"/>
      </w:pPr>
      <w:r>
        <w:rPr>
          <w:w w:val="105"/>
        </w:rPr>
        <w:t>updates</w:t>
      </w:r>
      <w:r>
        <w:rPr>
          <w:spacing w:val="-7"/>
          <w:w w:val="105"/>
        </w:rPr>
        <w:t> </w:t>
      </w:r>
      <w:r>
        <w:rPr>
          <w:w w:val="105"/>
        </w:rPr>
        <w:t>through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Encompass.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74" w:after="0"/>
        <w:ind w:left="658" w:right="1061" w:hanging="298"/>
        <w:jc w:val="left"/>
        <w:rPr>
          <w:position w:val="-4"/>
          <w:sz w:val="31"/>
        </w:rPr>
      </w:pPr>
      <w:r>
        <w:rPr>
          <w:w w:val="105"/>
          <w:sz w:val="18"/>
        </w:rPr>
        <w:t>Completed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26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past-due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account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follow-up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calls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daily,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conﬁrming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missing documents and clearing stale conditions before underwriting deadlines.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189" w:lineRule="auto" w:before="109" w:after="0"/>
        <w:ind w:left="658" w:right="309" w:hanging="298"/>
        <w:jc w:val="left"/>
        <w:rPr>
          <w:position w:val="-4"/>
          <w:sz w:val="31"/>
        </w:rPr>
      </w:pPr>
      <w:r>
        <w:rPr>
          <w:w w:val="105"/>
          <w:sz w:val="18"/>
        </w:rPr>
        <w:t>Reduced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document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errors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from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1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9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ﬁles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1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21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cross-referencing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income, asset, and title records in DocMagic before submission.</w:t>
      </w:r>
    </w:p>
    <w:p>
      <w:pPr>
        <w:pStyle w:val="ListParagraph"/>
        <w:numPr>
          <w:ilvl w:val="0"/>
          <w:numId w:val="1"/>
        </w:numPr>
        <w:tabs>
          <w:tab w:pos="656" w:val="left" w:leader="none"/>
          <w:tab w:pos="658" w:val="left" w:leader="none"/>
        </w:tabs>
        <w:spacing w:line="201" w:lineRule="auto" w:before="98" w:after="0"/>
        <w:ind w:left="658" w:right="399" w:hanging="298"/>
        <w:jc w:val="left"/>
        <w:rPr>
          <w:position w:val="-4"/>
          <w:sz w:val="31"/>
        </w:rPr>
      </w:pPr>
      <w:r>
        <w:rPr>
          <w:w w:val="105"/>
          <w:sz w:val="18"/>
        </w:rPr>
        <w:t>Coordinated with 4 title companies and 3 appraisal ﬁrms to collect third-party reports,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keeping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pipeline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FHA,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VA,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conventional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loans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moving</w:t>
      </w:r>
    </w:p>
    <w:p>
      <w:pPr>
        <w:pStyle w:val="BodyText"/>
        <w:spacing w:before="25"/>
        <w:ind w:left="658"/>
      </w:pPr>
      <w:r>
        <w:rPr/>
        <w:t>without</w:t>
      </w:r>
      <w:r>
        <w:rPr>
          <w:spacing w:val="12"/>
        </w:rPr>
        <w:t> </w:t>
      </w:r>
      <w:r>
        <w:rPr>
          <w:spacing w:val="-2"/>
        </w:rPr>
        <w:t>bottlenecks.</w:t>
      </w:r>
    </w:p>
    <w:p>
      <w:pPr>
        <w:pStyle w:val="BodyText"/>
        <w:spacing w:before="204"/>
      </w:pPr>
    </w:p>
    <w:p>
      <w:pPr>
        <w:pStyle w:val="BodyText"/>
        <w:ind w:left="119"/>
      </w:pPr>
      <w:r>
        <w:rPr/>
        <w:t>LOAN</w:t>
      </w:r>
      <w:r>
        <w:rPr>
          <w:spacing w:val="16"/>
        </w:rPr>
        <w:t> </w:t>
      </w:r>
      <w:r>
        <w:rPr/>
        <w:t>PROCESSOR</w:t>
      </w:r>
      <w:r>
        <w:rPr>
          <w:spacing w:val="22"/>
        </w:rPr>
        <w:t> </w:t>
      </w:r>
      <w:r>
        <w:rPr>
          <w:position w:val="2"/>
        </w:rPr>
        <w:t>|</w:t>
      </w:r>
      <w:r>
        <w:rPr>
          <w:spacing w:val="22"/>
          <w:position w:val="2"/>
        </w:rPr>
        <w:t> </w:t>
      </w:r>
      <w:r>
        <w:rPr/>
        <w:t>CHESAPEAKE</w:t>
      </w:r>
      <w:r>
        <w:rPr>
          <w:spacing w:val="16"/>
        </w:rPr>
        <w:t> </w:t>
      </w:r>
      <w:r>
        <w:rPr/>
        <w:t>SHORE</w:t>
      </w:r>
      <w:r>
        <w:rPr>
          <w:spacing w:val="17"/>
        </w:rPr>
        <w:t> </w:t>
      </w:r>
      <w:r>
        <w:rPr/>
        <w:t>LENDING</w:t>
      </w:r>
      <w:r>
        <w:rPr>
          <w:spacing w:val="16"/>
        </w:rPr>
        <w:t> </w:t>
      </w:r>
      <w:r>
        <w:rPr/>
        <w:t>LLC,</w:t>
      </w:r>
      <w:r>
        <w:rPr>
          <w:spacing w:val="17"/>
        </w:rPr>
        <w:t> </w:t>
      </w:r>
      <w:r>
        <w:rPr/>
        <w:t>CAMBRIDGE,</w:t>
      </w:r>
      <w:r>
        <w:rPr>
          <w:spacing w:val="17"/>
        </w:rPr>
        <w:t> </w:t>
      </w:r>
      <w:r>
        <w:rPr>
          <w:spacing w:val="-5"/>
        </w:rPr>
        <w:t>MD</w:t>
      </w:r>
    </w:p>
    <w:p>
      <w:pPr>
        <w:pStyle w:val="BodyText"/>
        <w:spacing w:before="25"/>
        <w:ind w:left="119"/>
      </w:pPr>
      <w:r>
        <w:rPr/>
        <w:t>2021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3377" w:space="640"/>
            <w:col w:w="7762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141" w:after="0"/>
        <w:ind w:left="677" w:right="582" w:hanging="298"/>
        <w:jc w:val="left"/>
        <w:rPr>
          <w:position w:val="-4"/>
          <w:sz w:val="31"/>
        </w:rPr>
      </w:pPr>
      <w:r>
        <w:rPr>
          <w:w w:val="105"/>
          <w:sz w:val="18"/>
        </w:rPr>
        <w:t>DU</w:t>
      </w:r>
      <w:r>
        <w:rPr>
          <w:spacing w:val="-1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LP</w:t>
      </w:r>
      <w:r>
        <w:rPr>
          <w:spacing w:val="-13"/>
          <w:w w:val="105"/>
          <w:sz w:val="18"/>
        </w:rPr>
        <w:t> </w:t>
      </w:r>
      <w:r>
        <w:rPr>
          <w:w w:val="105"/>
          <w:sz w:val="18"/>
        </w:rPr>
        <w:t>Automated </w:t>
      </w:r>
      <w:r>
        <w:rPr>
          <w:spacing w:val="-2"/>
          <w:w w:val="105"/>
          <w:sz w:val="18"/>
        </w:rPr>
        <w:t>Underwriting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59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TRID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Compliance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FHA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and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VA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Loan</w:t>
      </w:r>
      <w:r>
        <w:rPr>
          <w:spacing w:val="-10"/>
          <w:w w:val="105"/>
          <w:sz w:val="18"/>
        </w:rPr>
        <w:t> </w:t>
      </w:r>
      <w:r>
        <w:rPr>
          <w:spacing w:val="-2"/>
          <w:w w:val="105"/>
          <w:sz w:val="18"/>
        </w:rPr>
        <w:t>Guidelines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23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HMDA</w:t>
      </w:r>
      <w:r>
        <w:rPr>
          <w:spacing w:val="-8"/>
          <w:w w:val="105"/>
          <w:sz w:val="18"/>
        </w:rPr>
        <w:t> </w:t>
      </w:r>
      <w:r>
        <w:rPr>
          <w:spacing w:val="-2"/>
          <w:w w:val="105"/>
          <w:sz w:val="18"/>
        </w:rPr>
        <w:t>Reporting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16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spacing w:val="-2"/>
          <w:w w:val="105"/>
          <w:sz w:val="18"/>
        </w:rPr>
        <w:t>Microsoft</w:t>
      </w:r>
      <w:r>
        <w:rPr>
          <w:w w:val="105"/>
          <w:sz w:val="18"/>
        </w:rPr>
        <w:t> </w:t>
      </w:r>
      <w:r>
        <w:rPr>
          <w:spacing w:val="-2"/>
          <w:w w:val="105"/>
          <w:sz w:val="18"/>
        </w:rPr>
        <w:t>Excel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51" w:after="0"/>
        <w:ind w:left="677" w:right="667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Averaged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19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past-due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follow-up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calls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day,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recovering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$37,430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pending documentation fees over a 12-month period.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98" w:after="0"/>
        <w:ind w:left="677" w:right="505" w:hanging="298"/>
        <w:jc w:val="left"/>
        <w:rPr>
          <w:position w:val="-4"/>
          <w:sz w:val="31"/>
        </w:rPr>
      </w:pPr>
      <w:r>
        <w:rPr>
          <w:w w:val="105"/>
          <w:sz w:val="18"/>
        </w:rPr>
        <w:t>Cut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document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error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rates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6.6%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after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creating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43-point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veriﬁcation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checklist covering TRID disclosures, income calculations, and property records.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4" w:lineRule="auto" w:before="77" w:after="0"/>
        <w:ind w:left="677" w:right="585" w:hanging="298"/>
        <w:jc w:val="left"/>
        <w:rPr>
          <w:position w:val="-2"/>
          <w:sz w:val="31"/>
        </w:rPr>
      </w:pPr>
      <w:r>
        <w:rPr>
          <w:w w:val="105"/>
          <w:sz w:val="18"/>
        </w:rPr>
        <w:t>Submitted loan packages through DU and LP for automated underwriting decisions,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resolving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7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conditions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ﬁle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3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business</w:t>
      </w:r>
      <w:r>
        <w:rPr>
          <w:spacing w:val="-5"/>
          <w:w w:val="105"/>
          <w:sz w:val="18"/>
        </w:rPr>
        <w:t> </w:t>
      </w:r>
      <w:r>
        <w:rPr>
          <w:w w:val="105"/>
          <w:sz w:val="18"/>
        </w:rPr>
        <w:t>days.</w:t>
      </w:r>
    </w:p>
    <w:p>
      <w:pPr>
        <w:pStyle w:val="ListParagraph"/>
        <w:spacing w:after="0" w:line="204" w:lineRule="auto"/>
        <w:jc w:val="left"/>
        <w:rPr>
          <w:position w:val="-2"/>
          <w:sz w:val="31"/>
        </w:rPr>
        <w:sectPr>
          <w:type w:val="continuous"/>
          <w:pgSz w:w="11920" w:h="16860"/>
          <w:pgMar w:top="880" w:bottom="280" w:left="141" w:right="0"/>
          <w:cols w:num="2" w:equalWidth="0">
            <w:col w:w="3132" w:space="867"/>
            <w:col w:w="7780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43" w:lineRule="exact" w:before="1" w:after="0"/>
        <w:ind w:left="675" w:right="0" w:hanging="296"/>
        <w:jc w:val="left"/>
        <w:rPr>
          <w:position w:val="-4"/>
          <w:sz w:val="31"/>
        </w:rPr>
      </w:pPr>
      <w:r>
        <w:rPr>
          <w:sz w:val="18"/>
        </w:rPr>
        <w:t>Pipeline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301" w:lineRule="exact" w:before="0" w:after="0"/>
        <w:ind w:left="675" w:right="0" w:hanging="296"/>
        <w:jc w:val="left"/>
        <w:rPr>
          <w:position w:val="-4"/>
          <w:sz w:val="31"/>
        </w:rPr>
      </w:pPr>
      <w:r>
        <w:rPr>
          <w:w w:val="105"/>
          <w:sz w:val="18"/>
        </w:rPr>
        <w:t>Title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9"/>
          <w:w w:val="105"/>
          <w:sz w:val="18"/>
        </w:rPr>
        <w:t> </w:t>
      </w:r>
      <w:r>
        <w:rPr>
          <w:w w:val="105"/>
          <w:sz w:val="18"/>
        </w:rPr>
        <w:t>Appraisal</w:t>
      </w:r>
      <w:r>
        <w:rPr>
          <w:spacing w:val="-9"/>
          <w:w w:val="105"/>
          <w:sz w:val="18"/>
        </w:rPr>
        <w:t> </w:t>
      </w:r>
      <w:r>
        <w:rPr>
          <w:spacing w:val="-2"/>
          <w:w w:val="105"/>
          <w:sz w:val="18"/>
        </w:rPr>
        <w:t>Coordination</w:t>
      </w:r>
    </w:p>
    <w:p>
      <w:pPr>
        <w:pStyle w:val="BodyText"/>
        <w:spacing w:before="76"/>
        <w:ind w:left="379"/>
      </w:pPr>
      <w:r>
        <w:rPr/>
        <w:br w:type="column"/>
      </w:r>
      <w:r>
        <w:rPr/>
        <w:t>JUNIOR</w:t>
      </w:r>
      <w:r>
        <w:rPr>
          <w:spacing w:val="12"/>
        </w:rPr>
        <w:t> </w:t>
      </w:r>
      <w:r>
        <w:rPr/>
        <w:t>LOAN</w:t>
      </w:r>
      <w:r>
        <w:rPr>
          <w:spacing w:val="12"/>
        </w:rPr>
        <w:t> </w:t>
      </w:r>
      <w:r>
        <w:rPr/>
        <w:t>PROCESSOR</w:t>
      </w:r>
      <w:r>
        <w:rPr>
          <w:spacing w:val="17"/>
        </w:rPr>
        <w:t> </w:t>
      </w:r>
      <w:r>
        <w:rPr>
          <w:position w:val="2"/>
        </w:rPr>
        <w:t>|</w:t>
      </w:r>
      <w:r>
        <w:rPr>
          <w:spacing w:val="17"/>
          <w:position w:val="2"/>
        </w:rPr>
        <w:t> </w:t>
      </w:r>
      <w:r>
        <w:rPr/>
        <w:t>DELMARVA CAPITAL</w:t>
      </w:r>
      <w:r>
        <w:rPr>
          <w:spacing w:val="3"/>
        </w:rPr>
        <w:t> </w:t>
      </w:r>
      <w:r>
        <w:rPr/>
        <w:t>SERVICES</w:t>
      </w:r>
      <w:r>
        <w:rPr>
          <w:spacing w:val="12"/>
        </w:rPr>
        <w:t> </w:t>
      </w:r>
      <w:r>
        <w:rPr/>
        <w:t>INC.,</w:t>
      </w:r>
      <w:r>
        <w:rPr>
          <w:spacing w:val="13"/>
        </w:rPr>
        <w:t> </w:t>
      </w:r>
      <w:r>
        <w:rPr/>
        <w:t>EASTON,</w:t>
      </w:r>
      <w:r>
        <w:rPr>
          <w:spacing w:val="12"/>
        </w:rPr>
        <w:t> </w:t>
      </w:r>
      <w:r>
        <w:rPr>
          <w:spacing w:val="-5"/>
        </w:rPr>
        <w:t>MD</w:t>
      </w:r>
    </w:p>
    <w:p>
      <w:pPr>
        <w:pStyle w:val="BodyText"/>
        <w:spacing w:before="40"/>
        <w:ind w:left="379"/>
      </w:pPr>
      <w:r>
        <w:rPr/>
        <w:t>2020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2021</w:t>
      </w:r>
    </w:p>
    <w:p>
      <w:pPr>
        <w:pStyle w:val="BodyText"/>
        <w:spacing w:after="0"/>
        <w:sectPr>
          <w:type w:val="continuous"/>
          <w:pgSz w:w="11920" w:h="16860"/>
          <w:pgMar w:top="880" w:bottom="280" w:left="141" w:right="0"/>
          <w:cols w:num="2" w:equalWidth="0">
            <w:col w:w="3390" w:space="367"/>
            <w:col w:w="8022"/>
          </w:cols>
        </w:sectPr>
      </w:pPr>
    </w:p>
    <w:p>
      <w:pPr>
        <w:pStyle w:val="ListParagraph"/>
        <w:numPr>
          <w:ilvl w:val="0"/>
          <w:numId w:val="1"/>
        </w:numPr>
        <w:tabs>
          <w:tab w:pos="675" w:val="left" w:leader="none"/>
        </w:tabs>
        <w:spacing w:line="240" w:lineRule="auto" w:before="0" w:after="0"/>
        <w:ind w:left="675" w:right="0" w:hanging="296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2590799"/>
                            <a:ext cx="2457450" cy="8115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0" h="8115300">
                                <a:moveTo>
                                  <a:pt x="0" y="8115299"/>
                                </a:moveTo>
                                <a:lnTo>
                                  <a:pt x="2457449" y="8115299"/>
                                </a:lnTo>
                                <a:lnTo>
                                  <a:pt x="24574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1152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447912" y="2533649"/>
                            <a:ext cx="9525" cy="8172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17245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838950"/>
                                </a:lnTo>
                                <a:lnTo>
                                  <a:pt x="0" y="8172437"/>
                                </a:lnTo>
                                <a:lnTo>
                                  <a:pt x="9525" y="8172437"/>
                                </a:lnTo>
                                <a:lnTo>
                                  <a:pt x="9525" y="683895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18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33374" y="32099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8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8"/>
                                </a:lnTo>
                                <a:lnTo>
                                  <a:pt x="318545" y="259693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1" y="3298477"/>
                            <a:ext cx="161922" cy="1653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333374" y="35909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3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0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0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0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5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100" y="3666899"/>
                            <a:ext cx="161925" cy="19041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33374" y="3971924"/>
                            <a:ext cx="3429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2900" h="342900">
                                <a:moveTo>
                                  <a:pt x="171226" y="342899"/>
                                </a:moveTo>
                                <a:lnTo>
                                  <a:pt x="129611" y="337766"/>
                                </a:lnTo>
                                <a:lnTo>
                                  <a:pt x="90509" y="322682"/>
                                </a:lnTo>
                                <a:lnTo>
                                  <a:pt x="56244" y="298551"/>
                                </a:lnTo>
                                <a:lnTo>
                                  <a:pt x="28856" y="266801"/>
                                </a:lnTo>
                                <a:lnTo>
                                  <a:pt x="10004" y="229347"/>
                                </a:lnTo>
                                <a:lnTo>
                                  <a:pt x="822" y="188456"/>
                                </a:lnTo>
                                <a:lnTo>
                                  <a:pt x="0" y="171673"/>
                                </a:lnTo>
                                <a:lnTo>
                                  <a:pt x="205" y="162814"/>
                                </a:lnTo>
                                <a:lnTo>
                                  <a:pt x="7371" y="121521"/>
                                </a:lnTo>
                                <a:lnTo>
                                  <a:pt x="24354" y="83206"/>
                                </a:lnTo>
                                <a:lnTo>
                                  <a:pt x="50151" y="50151"/>
                                </a:lnTo>
                                <a:lnTo>
                                  <a:pt x="83206" y="24354"/>
                                </a:lnTo>
                                <a:lnTo>
                                  <a:pt x="121521" y="7370"/>
                                </a:lnTo>
                                <a:lnTo>
                                  <a:pt x="162814" y="205"/>
                                </a:lnTo>
                                <a:lnTo>
                                  <a:pt x="171673" y="0"/>
                                </a:lnTo>
                                <a:lnTo>
                                  <a:pt x="180085" y="205"/>
                                </a:lnTo>
                                <a:lnTo>
                                  <a:pt x="221378" y="7370"/>
                                </a:lnTo>
                                <a:lnTo>
                                  <a:pt x="259693" y="24354"/>
                                </a:lnTo>
                                <a:lnTo>
                                  <a:pt x="292748" y="50151"/>
                                </a:lnTo>
                                <a:lnTo>
                                  <a:pt x="318545" y="83206"/>
                                </a:lnTo>
                                <a:lnTo>
                                  <a:pt x="335528" y="121521"/>
                                </a:lnTo>
                                <a:lnTo>
                                  <a:pt x="342694" y="162814"/>
                                </a:lnTo>
                                <a:lnTo>
                                  <a:pt x="342899" y="171673"/>
                                </a:lnTo>
                                <a:lnTo>
                                  <a:pt x="342694" y="180085"/>
                                </a:lnTo>
                                <a:lnTo>
                                  <a:pt x="335528" y="221377"/>
                                </a:lnTo>
                                <a:lnTo>
                                  <a:pt x="318545" y="259692"/>
                                </a:lnTo>
                                <a:lnTo>
                                  <a:pt x="292748" y="292748"/>
                                </a:lnTo>
                                <a:lnTo>
                                  <a:pt x="259693" y="318544"/>
                                </a:lnTo>
                                <a:lnTo>
                                  <a:pt x="221378" y="335528"/>
                                </a:lnTo>
                                <a:lnTo>
                                  <a:pt x="180085" y="342694"/>
                                </a:lnTo>
                                <a:lnTo>
                                  <a:pt x="171226" y="3428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9099" y="4059942"/>
                            <a:ext cx="161924" cy="1664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7568565" cy="2533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533650">
                                <a:moveTo>
                                  <a:pt x="7568183" y="2533649"/>
                                </a:moveTo>
                                <a:lnTo>
                                  <a:pt x="0" y="25336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2533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4" y="333374"/>
                            <a:ext cx="1419224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" name="Graphic 16"/>
                        <wps:cNvSpPr/>
                        <wps:spPr>
                          <a:xfrm>
                            <a:off x="7124699" y="2203573"/>
                            <a:ext cx="443865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3865" h="349250">
                                <a:moveTo>
                                  <a:pt x="443484" y="349125"/>
                                </a:moveTo>
                                <a:lnTo>
                                  <a:pt x="0" y="349125"/>
                                </a:lnTo>
                                <a:lnTo>
                                  <a:pt x="443484" y="0"/>
                                </a:lnTo>
                                <a:lnTo>
                                  <a:pt x="443484" y="349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843pt;mso-position-horizontal-relative:page;mso-position-vertical-relative:page;z-index:-15785472" id="docshapegroup5" coordorigin="0,0" coordsize="11919,16860">
                <v:rect style="position:absolute;left:0;top:4080;width:3870;height:12780" id="docshape6" filled="true" fillcolor="#f5f5f5" stroked="false">
                  <v:fill type="solid"/>
                </v:rect>
                <v:shape style="position:absolute;left:3854;top:3990;width:15;height:12870" id="docshape7" coordorigin="3855,3990" coordsize="15,12870" path="m3870,3990l3855,3990,3855,14760,3855,16860,3870,16860,3870,14760,3870,3990xe" filled="true" fillcolor="#c18f00" stroked="false">
                  <v:path arrowok="t"/>
                  <v:fill type="solid"/>
                </v:shape>
                <v:shape style="position:absolute;left:525;top:5055;width:540;height:540" id="docshape8" coordorigin="525,5055" coordsize="540,540" path="m795,5595l729,5587,668,5563,614,5525,570,5475,541,5416,526,5352,525,5325,525,5311,537,5246,563,5186,604,5134,656,5093,716,5067,781,5055,795,5055,809,5055,874,5067,934,5093,986,5134,1027,5186,1053,5246,1065,5311,1065,5325,1065,5339,1053,5404,1027,5464,986,5516,934,5557,874,5583,809,5595,795,5595xe" filled="true" fillcolor="#424242" stroked="false">
                  <v:path arrowok="t"/>
                  <v:fill type="solid"/>
                </v:shape>
                <v:shape style="position:absolute;left:660;top:5194;width:255;height:261" type="#_x0000_t75" id="docshape9" stroked="false">
                  <v:imagedata r:id="rId6" o:title=""/>
                </v:shape>
                <v:shape style="position:absolute;left:525;top:5655;width:540;height:540" id="docshape10" coordorigin="525,5655" coordsize="540,540" path="m795,6195l729,6187,668,6163,614,6125,570,6075,541,6016,526,5952,525,5925,525,5911,537,5846,563,5786,604,5734,656,5693,716,5667,781,5655,795,5655,809,5655,874,5667,934,5693,986,5734,1027,5786,1053,5846,1065,5911,1065,5925,1065,5939,1053,6004,1027,6064,986,6116,934,6157,874,6183,809,6195,795,6195xe" filled="true" fillcolor="#424242" stroked="false">
                  <v:path arrowok="t"/>
                  <v:fill type="solid"/>
                </v:shape>
                <v:shape style="position:absolute;left:660;top:5774;width:255;height:300" type="#_x0000_t75" id="docshape11" stroked="false">
                  <v:imagedata r:id="rId7" o:title=""/>
                </v:shape>
                <v:shape style="position:absolute;left:525;top:6255;width:540;height:540" id="docshape12" coordorigin="525,6255" coordsize="540,540" path="m795,6795l729,6787,668,6763,614,6725,570,6675,541,6616,526,6552,525,6525,525,6511,537,6446,563,6386,604,6334,656,6293,716,6267,781,6255,795,6255,809,6255,874,6267,934,6293,986,6334,1027,6386,1053,6446,1065,6511,1065,6525,1065,6539,1053,6604,1027,6664,986,6716,934,6757,874,6783,809,6795,795,6795xe" filled="true" fillcolor="#424242" stroked="false">
                  <v:path arrowok="t"/>
                  <v:fill type="solid"/>
                </v:shape>
                <v:shape style="position:absolute;left:660;top:6393;width:255;height:263" type="#_x0000_t75" id="docshape13" stroked="false">
                  <v:imagedata r:id="rId8" o:title=""/>
                </v:shape>
                <v:rect style="position:absolute;left:0;top:0;width:11919;height:3990" id="docshape14" filled="true" fillcolor="#424242" stroked="false">
                  <v:fill type="solid"/>
                </v:rect>
                <v:shape style="position:absolute;left:525;top:525;width:2235;height:1965" type="#_x0000_t75" id="docshape15" stroked="false">
                  <v:imagedata r:id="rId9" o:title=""/>
                </v:shape>
                <v:shape style="position:absolute;left:11220;top:3470;width:699;height:550" id="docshape16" coordorigin="11220,3470" coordsize="699,550" path="m11918,4020l11220,4020,11918,3470,11918,402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8"/>
        </w:rPr>
        <w:t>Borrower</w:t>
      </w:r>
      <w:r>
        <w:rPr>
          <w:spacing w:val="12"/>
          <w:sz w:val="18"/>
        </w:rPr>
        <w:t> </w:t>
      </w:r>
      <w:r>
        <w:rPr>
          <w:spacing w:val="-2"/>
          <w:sz w:val="18"/>
        </w:rPr>
        <w:t>Communication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189" w:lineRule="auto" w:before="111" w:after="0"/>
        <w:ind w:left="677" w:right="1046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Made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14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past-due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account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follow-up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calls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daily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during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ﬁrst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6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months, escalating unresolved items to senior processors within 24 hours.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97" w:after="0"/>
        <w:ind w:left="677" w:right="571" w:hanging="298"/>
        <w:jc w:val="left"/>
        <w:rPr>
          <w:position w:val="-4"/>
          <w:sz w:val="31"/>
        </w:rPr>
      </w:pPr>
      <w:r>
        <w:rPr>
          <w:w w:val="105"/>
          <w:sz w:val="18"/>
        </w:rPr>
        <w:t>Identiﬁed document errors in 1 of every 7 ﬁles reviewed and ﬂagged missing signatures,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outdated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pay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stubs,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incorrect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HMDA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data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before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underwriting.</w:t>
      </w:r>
    </w:p>
    <w:p>
      <w:pPr>
        <w:pStyle w:val="ListParagraph"/>
        <w:numPr>
          <w:ilvl w:val="0"/>
          <w:numId w:val="1"/>
        </w:numPr>
        <w:tabs>
          <w:tab w:pos="675" w:val="left" w:leader="none"/>
          <w:tab w:pos="677" w:val="left" w:leader="none"/>
        </w:tabs>
        <w:spacing w:line="201" w:lineRule="auto" w:before="82" w:after="0"/>
        <w:ind w:left="677" w:right="464" w:hanging="298"/>
        <w:jc w:val="left"/>
        <w:rPr>
          <w:position w:val="-4"/>
          <w:sz w:val="31"/>
        </w:rPr>
      </w:pPr>
      <w:r>
        <w:rPr>
          <w:w w:val="105"/>
          <w:sz w:val="18"/>
        </w:rPr>
        <w:t>Ordered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ﬂood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certiﬁcations,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VOEs,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credit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supplements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average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of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11 new ﬁles per week, maintaining TRID timelines.</w:t>
      </w:r>
    </w:p>
    <w:sectPr>
      <w:type w:val="continuous"/>
      <w:pgSz w:w="11920" w:h="16860"/>
      <w:pgMar w:top="880" w:bottom="280" w:left="141" w:right="0"/>
      <w:cols w:num="2" w:equalWidth="0">
        <w:col w:w="2821" w:space="1177"/>
        <w:col w:w="7781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658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31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03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475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74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018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9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561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833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9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07"/>
      <w:ind w:left="4006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75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hiro.goldstein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2026-10-08T13:28:04Z</dcterms:created>
  <dcterms:modified xsi:type="dcterms:W3CDTF">2026-10-08T13:28:04Z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