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521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523874</wp:posOffset>
                </wp:positionH>
                <wp:positionV relativeFrom="paragraph">
                  <wp:posOffset>-168610</wp:posOffset>
                </wp:positionV>
                <wp:extent cx="1752600" cy="2028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52600" cy="2028825"/>
                          <a:chExt cx="1752600" cy="2028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49" y="190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-13.27639pt;width:138pt;height:159.75pt;mso-position-horizontal-relative:page;mso-position-vertical-relative:paragraph;z-index:15729152" id="docshapegroup1" coordorigin="825,-266" coordsize="2760,3195">
                <v:rect style="position:absolute;left:825;top:-266;width:2760;height:3195" id="docshape2" filled="true" fillcolor="#be9000" stroked="false">
                  <v:fill type="solid"/>
                </v:rect>
                <v:rect style="position:absolute;left:855;top:-236;width:2700;height:3135" id="docshape3" filled="false" stroked="true" strokeweight="3.0pt" strokecolor="#ffffff">
                  <v:stroke dashstyle="solid"/>
                </v:rect>
                <v:shape style="position:absolute;left:885;top:-206;width:2640;height:3075" type="#_x0000_t75" id="docshape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134E5C"/>
          <w:sz w:val="74"/>
        </w:rPr>
        <w:t>Gavin</w:t>
      </w:r>
      <w:r>
        <w:rPr>
          <w:b/>
          <w:color w:val="134E5C"/>
          <w:spacing w:val="-3"/>
          <w:sz w:val="74"/>
        </w:rPr>
        <w:t> </w:t>
      </w:r>
      <w:r>
        <w:rPr>
          <w:color w:val="134E5C"/>
          <w:spacing w:val="-2"/>
          <w:sz w:val="74"/>
        </w:rPr>
        <w:t>Vaughn</w:t>
      </w:r>
    </w:p>
    <w:p>
      <w:pPr>
        <w:pStyle w:val="Heading2"/>
      </w:pPr>
      <w:r>
        <w:rPr/>
        <w:t>Revenue</w:t>
      </w:r>
      <w:r>
        <w:rPr>
          <w:spacing w:val="2"/>
        </w:rPr>
        <w:t> </w:t>
      </w:r>
      <w:r>
        <w:rPr/>
        <w:t>Cycle</w:t>
      </w:r>
      <w:r>
        <w:rPr>
          <w:spacing w:val="2"/>
        </w:rPr>
        <w:t> </w:t>
      </w:r>
      <w:r>
        <w:rPr>
          <w:spacing w:val="-2"/>
        </w:rPr>
        <w:t>Supervisor</w:t>
      </w:r>
    </w:p>
    <w:p>
      <w:pPr>
        <w:pStyle w:val="BodyText"/>
        <w:spacing w:line="261" w:lineRule="auto" w:before="234"/>
        <w:ind w:left="4707" w:right="785" w:hanging="1"/>
        <w:jc w:val="center"/>
      </w:pPr>
      <w:r>
        <w:rPr>
          <w:w w:val="105"/>
        </w:rPr>
        <w:t>Certiﬁed Professional Biller with 12 years of experience in revenue cycle management, claims processing, and payer appeals across commercial, </w:t>
      </w:r>
      <w:r>
        <w:rPr>
          <w:spacing w:val="-2"/>
          <w:w w:val="105"/>
        </w:rPr>
        <w:t>Medicaid, and self-pay accounts. Recovered $67,450 through payer appeals </w:t>
      </w:r>
      <w:r>
        <w:rPr>
          <w:w w:val="105"/>
        </w:rPr>
        <w:t>by documenting clinical rationale and resubmitting with corrected CPT modiﬁers, and generated an annual revenue uplift of $52,370 by restructuring claim prioritization queues and shortening average days in accounts receivable from 41 to 29 days.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33"/>
        <w:rPr>
          <w:sz w:val="24"/>
        </w:rPr>
      </w:pPr>
    </w:p>
    <w:p>
      <w:pPr>
        <w:pStyle w:val="BodyText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(803) 555-0132</w:t>
      </w:r>
    </w:p>
    <w:p>
      <w:pPr>
        <w:pStyle w:val="BodyText"/>
        <w:spacing w:before="17"/>
      </w:pPr>
    </w:p>
    <w:p>
      <w:pPr>
        <w:pStyle w:val="BodyText"/>
        <w:spacing w:line="410" w:lineRule="auto"/>
        <w:ind w:left="580" w:right="59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gavin.vaughn@example.com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Aiken, SC 12345</w:t>
      </w:r>
    </w:p>
    <w:p>
      <w:pPr>
        <w:pStyle w:val="BodyText"/>
        <w:spacing w:before="2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BodyText"/>
        <w:tabs>
          <w:tab w:pos="882" w:val="left" w:leader="none"/>
        </w:tabs>
        <w:spacing w:line="310" w:lineRule="atLeast" w:before="202"/>
        <w:ind w:left="882" w:right="623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BS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Business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Administration </w:t>
      </w:r>
      <w:r>
        <w:rPr>
          <w:color w:val="FFFFFF"/>
          <w:w w:val="105"/>
        </w:rPr>
        <w:t>2010 - 2014</w:t>
      </w:r>
    </w:p>
    <w:p>
      <w:pPr>
        <w:pStyle w:val="BodyText"/>
        <w:spacing w:before="23"/>
        <w:ind w:left="882"/>
      </w:pPr>
      <w:r>
        <w:rPr>
          <w:color w:val="FFFFFF"/>
        </w:rPr>
        <w:t>Lander</w:t>
      </w:r>
      <w:r>
        <w:rPr>
          <w:color w:val="FFFFFF"/>
          <w:spacing w:val="12"/>
        </w:rPr>
        <w:t> </w:t>
      </w:r>
      <w:r>
        <w:rPr>
          <w:color w:val="FFFFFF"/>
        </w:rPr>
        <w:t>University,</w:t>
      </w:r>
      <w:r>
        <w:rPr>
          <w:color w:val="FFFFFF"/>
          <w:spacing w:val="12"/>
        </w:rPr>
        <w:t> </w:t>
      </w:r>
      <w:r>
        <w:rPr>
          <w:color w:val="FFFFFF"/>
        </w:rPr>
        <w:t>Greenwood,</w:t>
      </w:r>
      <w:r>
        <w:rPr>
          <w:color w:val="FFFFFF"/>
          <w:spacing w:val="13"/>
        </w:rPr>
        <w:t> </w:t>
      </w:r>
      <w:r>
        <w:rPr>
          <w:color w:val="FFFFFF"/>
          <w:spacing w:val="-5"/>
        </w:rPr>
        <w:t>SC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tabs>
          <w:tab w:pos="882" w:val="left" w:leader="none"/>
        </w:tabs>
        <w:spacing w:before="0"/>
        <w:ind w:left="578" w:right="0" w:firstLine="0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4"/>
          <w:w w:val="105"/>
          <w:sz w:val="18"/>
        </w:rPr>
        <w:t>Epic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Greenway/Integrity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UB-04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Claim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Submission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CPT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HCPCS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Coding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05"/>
        </w:rPr>
        <w:t>ICD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Classiﬁcation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HIPAA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Compliance</w:t>
      </w:r>
    </w:p>
    <w:p>
      <w:pPr>
        <w:pStyle w:val="BodyText"/>
        <w:tabs>
          <w:tab w:pos="882" w:val="left" w:leader="none"/>
        </w:tabs>
        <w:spacing w:before="123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Revenue</w:t>
      </w:r>
      <w:r>
        <w:rPr>
          <w:color w:val="FFFFFF"/>
          <w:spacing w:val="13"/>
        </w:rPr>
        <w:t> </w:t>
      </w:r>
      <w:r>
        <w:rPr>
          <w:color w:val="FFFFFF"/>
        </w:rPr>
        <w:t>Cycle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Management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Payer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Appeals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Medicaid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Billing</w:t>
      </w:r>
    </w:p>
    <w:p>
      <w:pPr>
        <w:pStyle w:val="BodyText"/>
        <w:tabs>
          <w:tab w:pos="882" w:val="left" w:leader="none"/>
        </w:tabs>
        <w:spacing w:before="108"/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Word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8"/>
      </w:pPr>
    </w:p>
    <w:p>
      <w:pPr>
        <w:pStyle w:val="BodyText"/>
        <w:spacing w:line="261" w:lineRule="auto"/>
        <w:ind w:left="139" w:right="26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2952749</wp:posOffset>
                </wp:positionH>
                <wp:positionV relativeFrom="paragraph">
                  <wp:posOffset>-416328</wp:posOffset>
                </wp:positionV>
                <wp:extent cx="4615815" cy="28575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781784pt;width:363.45pt;height:22.5pt;mso-position-horizontal-relative:page;mso-position-vertical-relative:paragraph;z-index:15729664" type="#_x0000_t202" id="docshape5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Revenue</w:t>
      </w:r>
      <w:r>
        <w:rPr>
          <w:spacing w:val="-14"/>
          <w:w w:val="105"/>
        </w:rPr>
        <w:t> </w:t>
      </w:r>
      <w:r>
        <w:rPr>
          <w:w w:val="105"/>
        </w:rPr>
        <w:t>Cycle</w:t>
      </w:r>
      <w:r>
        <w:rPr>
          <w:spacing w:val="-13"/>
          <w:w w:val="105"/>
        </w:rPr>
        <w:t> </w:t>
      </w:r>
      <w:r>
        <w:rPr>
          <w:w w:val="105"/>
        </w:rPr>
        <w:t>Supervisor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2020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Present Savannah Bluff Health Group, Aiken, SC</w:t>
      </w:r>
    </w:p>
    <w:p>
      <w:pPr>
        <w:pStyle w:val="BodyText"/>
        <w:spacing w:before="47"/>
      </w:pPr>
    </w:p>
    <w:p>
      <w:pPr>
        <w:pStyle w:val="BodyText"/>
        <w:tabs>
          <w:tab w:pos="715" w:val="left" w:leader="none"/>
        </w:tabs>
        <w:spacing w:line="261" w:lineRule="auto"/>
        <w:ind w:left="715" w:right="942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 an average of 263 claims per week across commercial, Medicaid,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self-pay</w:t>
      </w:r>
      <w:r>
        <w:rPr>
          <w:spacing w:val="-13"/>
          <w:w w:val="105"/>
        </w:rPr>
        <w:t> </w:t>
      </w:r>
      <w:r>
        <w:rPr>
          <w:w w:val="105"/>
        </w:rPr>
        <w:t>accounts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Epic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charge</w:t>
      </w:r>
      <w:r>
        <w:rPr>
          <w:spacing w:val="-14"/>
          <w:w w:val="105"/>
        </w:rPr>
        <w:t> </w:t>
      </w:r>
      <w:r>
        <w:rPr>
          <w:w w:val="105"/>
        </w:rPr>
        <w:t>capture</w:t>
      </w:r>
      <w:r>
        <w:rPr>
          <w:spacing w:val="-13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submission.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9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Recovered</w:t>
      </w:r>
      <w:r>
        <w:rPr>
          <w:spacing w:val="-14"/>
          <w:w w:val="105"/>
        </w:rPr>
        <w:t> </w:t>
      </w:r>
      <w:r>
        <w:rPr>
          <w:w w:val="105"/>
        </w:rPr>
        <w:t>$67,450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payer</w:t>
      </w:r>
      <w:r>
        <w:rPr>
          <w:spacing w:val="-13"/>
          <w:w w:val="105"/>
        </w:rPr>
        <w:t> </w:t>
      </w:r>
      <w:r>
        <w:rPr>
          <w:w w:val="105"/>
        </w:rPr>
        <w:t>appeals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2025</w:t>
      </w:r>
      <w:r>
        <w:rPr>
          <w:spacing w:val="-13"/>
          <w:w w:val="105"/>
        </w:rPr>
        <w:t> </w:t>
      </w:r>
      <w:r>
        <w:rPr>
          <w:w w:val="105"/>
        </w:rPr>
        <w:t>ﬁscal</w:t>
      </w:r>
      <w:r>
        <w:rPr>
          <w:spacing w:val="-14"/>
          <w:w w:val="105"/>
        </w:rPr>
        <w:t> </w:t>
      </w:r>
      <w:r>
        <w:rPr>
          <w:w w:val="105"/>
        </w:rPr>
        <w:t>year</w:t>
      </w:r>
      <w:r>
        <w:rPr>
          <w:spacing w:val="-13"/>
          <w:w w:val="105"/>
        </w:rPr>
        <w:t> </w:t>
      </w:r>
      <w:r>
        <w:rPr>
          <w:w w:val="105"/>
        </w:rPr>
        <w:t>by documenting clinical rationale and resubmitting with corrected CPT </w:t>
      </w:r>
      <w:r>
        <w:rPr>
          <w:spacing w:val="-2"/>
          <w:w w:val="105"/>
        </w:rPr>
        <w:t>modiﬁers.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425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Generated an annual revenue uplift of $52,370 by restructuring claim </w:t>
      </w:r>
      <w:r>
        <w:rPr>
          <w:spacing w:val="-2"/>
          <w:w w:val="105"/>
        </w:rPr>
        <w:t>prioritization queues and shortening average days in accounts receivable </w:t>
      </w:r>
      <w:r>
        <w:rPr>
          <w:w w:val="105"/>
        </w:rPr>
        <w:t>from 41 to 29 days.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9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Release protected health information to authorized persons and agencies </w:t>
      </w:r>
      <w:r>
        <w:rPr>
          <w:w w:val="105"/>
        </w:rPr>
        <w:t>within</w:t>
      </w:r>
      <w:r>
        <w:rPr>
          <w:spacing w:val="-14"/>
          <w:w w:val="105"/>
        </w:rPr>
        <w:t> </w:t>
      </w:r>
      <w:r>
        <w:rPr>
          <w:w w:val="105"/>
        </w:rPr>
        <w:t>3</w:t>
      </w:r>
      <w:r>
        <w:rPr>
          <w:spacing w:val="-11"/>
          <w:w w:val="105"/>
        </w:rPr>
        <w:t> </w:t>
      </w:r>
      <w:r>
        <w:rPr>
          <w:w w:val="105"/>
        </w:rPr>
        <w:t>business</w:t>
      </w:r>
      <w:r>
        <w:rPr>
          <w:spacing w:val="-10"/>
          <w:w w:val="105"/>
        </w:rPr>
        <w:t> </w:t>
      </w:r>
      <w:r>
        <w:rPr>
          <w:w w:val="105"/>
        </w:rPr>
        <w:t>days,</w:t>
      </w:r>
      <w:r>
        <w:rPr>
          <w:spacing w:val="-10"/>
          <w:w w:val="105"/>
        </w:rPr>
        <w:t> </w:t>
      </w:r>
      <w:r>
        <w:rPr>
          <w:w w:val="105"/>
        </w:rPr>
        <w:t>maintaining</w:t>
      </w:r>
      <w:r>
        <w:rPr>
          <w:spacing w:val="-10"/>
          <w:w w:val="105"/>
        </w:rPr>
        <w:t> </w:t>
      </w:r>
      <w:r>
        <w:rPr>
          <w:w w:val="105"/>
        </w:rPr>
        <w:t>full</w:t>
      </w:r>
      <w:r>
        <w:rPr>
          <w:spacing w:val="-10"/>
          <w:w w:val="105"/>
        </w:rPr>
        <w:t> </w:t>
      </w:r>
      <w:r>
        <w:rPr>
          <w:w w:val="105"/>
        </w:rPr>
        <w:t>compliance</w:t>
      </w:r>
      <w:r>
        <w:rPr>
          <w:spacing w:val="-10"/>
          <w:w w:val="105"/>
        </w:rPr>
        <w:t> </w:t>
      </w:r>
      <w:r>
        <w:rPr>
          <w:w w:val="105"/>
        </w:rPr>
        <w:t>with</w:t>
      </w:r>
      <w:r>
        <w:rPr>
          <w:spacing w:val="-10"/>
          <w:w w:val="105"/>
        </w:rPr>
        <w:t> </w:t>
      </w:r>
      <w:r>
        <w:rPr>
          <w:w w:val="105"/>
        </w:rPr>
        <w:t>HIPAA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state disclosure regulations.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Consult</w:t>
      </w:r>
      <w:r>
        <w:rPr>
          <w:spacing w:val="-14"/>
          <w:w w:val="105"/>
        </w:rPr>
        <w:t> </w:t>
      </w:r>
      <w:r>
        <w:rPr>
          <w:w w:val="105"/>
        </w:rPr>
        <w:t>ICD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CPT</w:t>
      </w:r>
      <w:r>
        <w:rPr>
          <w:spacing w:val="-13"/>
          <w:w w:val="105"/>
        </w:rPr>
        <w:t> </w:t>
      </w:r>
      <w:r>
        <w:rPr>
          <w:w w:val="105"/>
        </w:rPr>
        <w:t>classiﬁcation</w:t>
      </w:r>
      <w:r>
        <w:rPr>
          <w:spacing w:val="-13"/>
          <w:w w:val="105"/>
        </w:rPr>
        <w:t> </w:t>
      </w:r>
      <w:r>
        <w:rPr>
          <w:w w:val="105"/>
        </w:rPr>
        <w:t>manuals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resolve</w:t>
      </w:r>
      <w:r>
        <w:rPr>
          <w:spacing w:val="-14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conﬂicting</w:t>
      </w:r>
      <w:r>
        <w:rPr>
          <w:spacing w:val="-13"/>
          <w:w w:val="105"/>
        </w:rPr>
        <w:t> </w:t>
      </w:r>
      <w:r>
        <w:rPr>
          <w:w w:val="105"/>
        </w:rPr>
        <w:t>or unclear diagnosis codes per week in collaboration with attending </w:t>
      </w:r>
      <w:r>
        <w:rPr>
          <w:spacing w:val="-2"/>
          <w:w w:val="105"/>
        </w:rPr>
        <w:t>physicians.</w:t>
      </w:r>
    </w:p>
    <w:p>
      <w:pPr>
        <w:pStyle w:val="BodyText"/>
        <w:spacing w:before="1"/>
      </w:pPr>
    </w:p>
    <w:p>
      <w:pPr>
        <w:pStyle w:val="BodyText"/>
        <w:ind w:left="139"/>
      </w:pPr>
      <w:r>
        <w:rPr>
          <w:spacing w:val="-2"/>
          <w:w w:val="105"/>
        </w:rPr>
        <w:t>Revenue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Cycle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Analyst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2017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8"/>
        <w:ind w:left="139"/>
      </w:pPr>
      <w:r>
        <w:rPr/>
        <w:t>Hollow</w:t>
      </w:r>
      <w:r>
        <w:rPr>
          <w:spacing w:val="11"/>
        </w:rPr>
        <w:t> </w:t>
      </w:r>
      <w:r>
        <w:rPr/>
        <w:t>Creek</w:t>
      </w:r>
      <w:r>
        <w:rPr>
          <w:spacing w:val="11"/>
        </w:rPr>
        <w:t> </w:t>
      </w:r>
      <w:r>
        <w:rPr/>
        <w:t>Medical</w:t>
      </w:r>
      <w:r>
        <w:rPr>
          <w:spacing w:val="11"/>
        </w:rPr>
        <w:t> </w:t>
      </w:r>
      <w:r>
        <w:rPr/>
        <w:t>Center,</w:t>
      </w:r>
      <w:r>
        <w:rPr>
          <w:spacing w:val="11"/>
        </w:rPr>
        <w:t> </w:t>
      </w:r>
      <w:r>
        <w:rPr/>
        <w:t>North Augusta,</w:t>
      </w:r>
      <w:r>
        <w:rPr>
          <w:spacing w:val="11"/>
        </w:rPr>
        <w:t> </w:t>
      </w:r>
      <w:r>
        <w:rPr>
          <w:spacing w:val="-5"/>
        </w:rPr>
        <w:t>SC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7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Processed</w:t>
      </w:r>
      <w:r>
        <w:rPr>
          <w:spacing w:val="-14"/>
          <w:w w:val="105"/>
        </w:rPr>
        <w:t> </w:t>
      </w:r>
      <w:r>
        <w:rPr>
          <w:w w:val="105"/>
        </w:rPr>
        <w:t>214</w:t>
      </w:r>
      <w:r>
        <w:rPr>
          <w:spacing w:val="-13"/>
          <w:w w:val="105"/>
        </w:rPr>
        <w:t> </w:t>
      </w:r>
      <w:r>
        <w:rPr>
          <w:w w:val="105"/>
        </w:rPr>
        <w:t>claims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week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inpatient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outpatient</w:t>
      </w:r>
      <w:r>
        <w:rPr>
          <w:spacing w:val="-13"/>
          <w:w w:val="105"/>
        </w:rPr>
        <w:t> </w:t>
      </w:r>
      <w:r>
        <w:rPr>
          <w:w w:val="105"/>
        </w:rPr>
        <w:t>services, preparing UB-04 forms and verifying HCPCS codes before payer </w:t>
      </w:r>
      <w:r>
        <w:rPr>
          <w:spacing w:val="-2"/>
          <w:w w:val="105"/>
        </w:rPr>
        <w:t>submission.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3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Recovered</w:t>
      </w:r>
      <w:r>
        <w:rPr>
          <w:spacing w:val="-14"/>
          <w:w w:val="105"/>
        </w:rPr>
        <w:t> </w:t>
      </w:r>
      <w:r>
        <w:rPr>
          <w:w w:val="105"/>
        </w:rPr>
        <w:t>$43,180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underpaid</w:t>
      </w:r>
      <w:r>
        <w:rPr>
          <w:spacing w:val="-13"/>
          <w:w w:val="105"/>
        </w:rPr>
        <w:t> </w:t>
      </w:r>
      <w:r>
        <w:rPr>
          <w:w w:val="105"/>
        </w:rPr>
        <w:t>claims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structured</w:t>
      </w:r>
      <w:r>
        <w:rPr>
          <w:spacing w:val="-14"/>
          <w:w w:val="105"/>
        </w:rPr>
        <w:t> </w:t>
      </w:r>
      <w:r>
        <w:rPr>
          <w:w w:val="105"/>
        </w:rPr>
        <w:t>appeals process targeting orthopedic and surgical procedure denials over 9 </w:t>
      </w:r>
      <w:r>
        <w:rPr>
          <w:spacing w:val="-2"/>
          <w:w w:val="105"/>
        </w:rPr>
        <w:t>months.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2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Participated in weekly coding team meetings to clarify ambiguous diagnoses,</w:t>
      </w:r>
      <w:r>
        <w:rPr>
          <w:spacing w:val="-11"/>
          <w:w w:val="105"/>
        </w:rPr>
        <w:t> </w:t>
      </w:r>
      <w:r>
        <w:rPr>
          <w:w w:val="105"/>
        </w:rPr>
        <w:t>saving</w:t>
      </w:r>
      <w:r>
        <w:rPr>
          <w:spacing w:val="-11"/>
          <w:w w:val="105"/>
        </w:rPr>
        <w:t> </w:t>
      </w:r>
      <w:r>
        <w:rPr>
          <w:w w:val="105"/>
        </w:rPr>
        <w:t>an</w:t>
      </w:r>
      <w:r>
        <w:rPr>
          <w:spacing w:val="-11"/>
          <w:w w:val="105"/>
        </w:rPr>
        <w:t> </w:t>
      </w:r>
      <w:r>
        <w:rPr>
          <w:w w:val="105"/>
        </w:rPr>
        <w:t>average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-11"/>
          <w:w w:val="105"/>
        </w:rPr>
        <w:t> </w:t>
      </w:r>
      <w:r>
        <w:rPr>
          <w:w w:val="105"/>
        </w:rPr>
        <w:t>hours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month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rework</w:t>
      </w:r>
      <w:r>
        <w:rPr>
          <w:spacing w:val="-11"/>
          <w:w w:val="105"/>
        </w:rPr>
        <w:t> </w:t>
      </w:r>
      <w:r>
        <w:rPr>
          <w:w w:val="105"/>
        </w:rPr>
        <w:t>time</w:t>
      </w:r>
      <w:r>
        <w:rPr>
          <w:spacing w:val="-11"/>
          <w:w w:val="105"/>
        </w:rPr>
        <w:t> </w:t>
      </w:r>
      <w:r>
        <w:rPr>
          <w:w w:val="105"/>
        </w:rPr>
        <w:t>on returned claims.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781" w:space="850"/>
            <w:col w:w="7148"/>
          </w:cols>
        </w:sectPr>
      </w:pPr>
    </w:p>
    <w:p>
      <w:pPr>
        <w:pStyle w:val="BodyText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9536" id="docshape6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line="261" w:lineRule="auto"/>
        <w:ind w:left="4770" w:right="3027"/>
      </w:pPr>
      <w:r>
        <w:rPr>
          <w:w w:val="105"/>
        </w:rPr>
        <w:t>Medical Billing Specialist | 2014 - 2017</w:t>
      </w:r>
      <w:r>
        <w:rPr>
          <w:w w:val="105"/>
        </w:rPr>
        <w:t> </w:t>
      </w:r>
      <w:r>
        <w:rPr>
          <w:spacing w:val="-2"/>
          <w:w w:val="105"/>
        </w:rPr>
        <w:t>Edgeﬁeld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Family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Practice,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Edgeﬁeld,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SC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1"/>
        </w:numPr>
        <w:tabs>
          <w:tab w:pos="5346" w:val="left" w:leader="none"/>
        </w:tabs>
        <w:spacing w:line="261" w:lineRule="auto" w:before="0" w:after="0"/>
        <w:ind w:left="5346" w:right="766" w:hanging="298"/>
        <w:jc w:val="left"/>
        <w:rPr>
          <w:sz w:val="18"/>
        </w:rPr>
      </w:pPr>
      <w:r>
        <w:rPr>
          <w:w w:val="105"/>
          <w:sz w:val="18"/>
        </w:rPr>
        <w:t>Processed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187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entering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charges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posting payments in Greenway/Integrity for 9 providers.</w:t>
      </w:r>
    </w:p>
    <w:p>
      <w:pPr>
        <w:pStyle w:val="ListParagraph"/>
        <w:numPr>
          <w:ilvl w:val="0"/>
          <w:numId w:val="1"/>
        </w:numPr>
        <w:tabs>
          <w:tab w:pos="5346" w:val="left" w:leader="none"/>
        </w:tabs>
        <w:spacing w:line="261" w:lineRule="auto" w:before="89" w:after="0"/>
        <w:ind w:left="5346" w:right="611" w:hanging="298"/>
        <w:jc w:val="left"/>
        <w:rPr>
          <w:sz w:val="18"/>
        </w:rPr>
      </w:pPr>
      <w:r>
        <w:rPr>
          <w:w w:val="105"/>
          <w:sz w:val="18"/>
        </w:rPr>
        <w:t>Contributed to an annual revenue uplift of $38,940 by identifying and </w:t>
      </w:r>
      <w:r>
        <w:rPr>
          <w:spacing w:val="-2"/>
          <w:w w:val="105"/>
          <w:sz w:val="18"/>
        </w:rPr>
        <w:t>correcting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undercoded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evaluation-and-management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encounters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before ﬁling.</w:t>
      </w:r>
    </w:p>
    <w:p>
      <w:pPr>
        <w:pStyle w:val="ListParagraph"/>
        <w:numPr>
          <w:ilvl w:val="0"/>
          <w:numId w:val="1"/>
        </w:numPr>
        <w:tabs>
          <w:tab w:pos="5346" w:val="left" w:leader="none"/>
        </w:tabs>
        <w:spacing w:line="261" w:lineRule="auto" w:before="103" w:after="0"/>
        <w:ind w:left="5346" w:right="501" w:hanging="298"/>
        <w:jc w:val="left"/>
        <w:rPr>
          <w:sz w:val="18"/>
        </w:rPr>
      </w:pPr>
      <w:r>
        <w:rPr>
          <w:w w:val="105"/>
          <w:sz w:val="18"/>
        </w:rPr>
        <w:t>Retrieved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released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insurance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carriers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legal </w:t>
      </w:r>
      <w:r>
        <w:rPr>
          <w:spacing w:val="-2"/>
          <w:w w:val="105"/>
          <w:sz w:val="18"/>
        </w:rPr>
        <w:t>representatives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within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48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hours,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logging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each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disclosure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HIPAA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audit readiness.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07488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</w:p>
    <w:p>
      <w:pPr>
        <w:spacing w:line="240" w:lineRule="auto"/>
        <w:ind w:left="4509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95275"/>
                <wp:effectExtent l="0" t="0" r="0" b="0"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4615815" cy="29527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3.45pt;height:23.25pt;mso-position-horizontal-relative:char;mso-position-vertical-relative:line" type="#_x0000_t202" id="docshape8" filled="true" fillcolor="#134e5c" stroked="false">
                <w10:anchorlock/>
                <v:textbox inset="0,0,0,0">
                  <w:txbxContent>
                    <w:p>
                      <w:pPr>
                        <w:spacing w:before="75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067" w:val="left" w:leader="none"/>
        </w:tabs>
        <w:spacing w:line="240" w:lineRule="auto" w:before="191" w:after="0"/>
        <w:ind w:left="5067" w:right="0" w:hanging="304"/>
        <w:jc w:val="left"/>
        <w:rPr>
          <w:sz w:val="18"/>
        </w:rPr>
      </w:pPr>
      <w:r>
        <w:rPr>
          <w:sz w:val="18"/>
        </w:rPr>
        <w:t>Certiﬁed</w:t>
      </w:r>
      <w:r>
        <w:rPr>
          <w:spacing w:val="11"/>
          <w:sz w:val="18"/>
        </w:rPr>
        <w:t> </w:t>
      </w:r>
      <w:r>
        <w:rPr>
          <w:sz w:val="18"/>
        </w:rPr>
        <w:t>Professional</w:t>
      </w:r>
      <w:r>
        <w:rPr>
          <w:spacing w:val="12"/>
          <w:sz w:val="18"/>
        </w:rPr>
        <w:t> </w:t>
      </w:r>
      <w:r>
        <w:rPr>
          <w:sz w:val="18"/>
        </w:rPr>
        <w:t>Biller, AAPC,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2016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34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7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5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0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4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8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6825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4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gavin.vaughn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2026-10-04T12:52:25Z</dcterms:created>
  <dcterms:modified xsi:type="dcterms:W3CDTF">2026-10-04T12:52:25Z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