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22"/>
        <w:rPr>
          <w:rFonts w:ascii="Times New Roman"/>
          <w:sz w:val="74"/>
        </w:rPr>
      </w:pPr>
    </w:p>
    <w:p>
      <w:pPr>
        <w:spacing w:before="0"/>
        <w:ind w:left="3957" w:right="350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Darius</w:t>
      </w:r>
      <w:r>
        <w:rPr>
          <w:b/>
          <w:color w:val="424242"/>
          <w:spacing w:val="34"/>
          <w:sz w:val="74"/>
        </w:rPr>
        <w:t> </w:t>
      </w:r>
      <w:r>
        <w:rPr>
          <w:color w:val="424242"/>
          <w:spacing w:val="10"/>
          <w:sz w:val="74"/>
        </w:rPr>
        <w:t>Cisneros</w:t>
      </w:r>
    </w:p>
    <w:p>
      <w:pPr>
        <w:pStyle w:val="Heading2"/>
      </w:pPr>
      <w:r>
        <w:rPr>
          <w:color w:val="424242"/>
          <w:w w:val="105"/>
        </w:rPr>
        <w:t>Private</w:t>
      </w:r>
      <w:r>
        <w:rPr>
          <w:color w:val="424242"/>
          <w:spacing w:val="8"/>
          <w:w w:val="105"/>
        </w:rPr>
        <w:t> </w:t>
      </w:r>
      <w:r>
        <w:rPr>
          <w:color w:val="424242"/>
          <w:w w:val="105"/>
        </w:rPr>
        <w:t>Equity</w:t>
      </w:r>
      <w:r>
        <w:rPr>
          <w:color w:val="424242"/>
          <w:spacing w:val="5"/>
          <w:w w:val="105"/>
        </w:rPr>
        <w:t> </w:t>
      </w:r>
      <w:r>
        <w:rPr>
          <w:color w:val="424242"/>
          <w:spacing w:val="-2"/>
          <w:w w:val="105"/>
        </w:rPr>
        <w:t>Associate</w:t>
      </w:r>
    </w:p>
    <w:p>
      <w:pPr>
        <w:pStyle w:val="BodyText"/>
        <w:spacing w:before="40"/>
        <w:rPr>
          <w:b/>
        </w:rPr>
      </w:pPr>
    </w:p>
    <w:p>
      <w:pPr>
        <w:spacing w:line="273" w:lineRule="auto" w:before="0"/>
        <w:ind w:left="3957" w:right="336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Closing 5 transactions across 6 years of private equity and investment banking experience,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with $263M in combined deal value at the associate level alone. Deployed $174M in equity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capital across 3 platform investments and 2 add-on acquisitions, building LBO and merger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models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in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Excel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to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stress-test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capital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structures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inform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bid</w:t>
      </w:r>
      <w:r>
        <w:rPr>
          <w:color w:val="424242"/>
          <w:spacing w:val="35"/>
          <w:w w:val="105"/>
          <w:sz w:val="16"/>
        </w:rPr>
        <w:t> </w:t>
      </w:r>
      <w:r>
        <w:rPr>
          <w:color w:val="424242"/>
          <w:w w:val="105"/>
          <w:sz w:val="16"/>
        </w:rPr>
        <w:t>pricing.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spacing w:line="240" w:lineRule="auto"/>
        <w:ind w:left="3604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38125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90"/>
                                <w:sz w:val="28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72"/>
                                <w:w w:val="15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87.45pt;height:18.75pt;mso-position-horizontal-relative:char;mso-position-vertical-relative:line" type="#_x0000_t202" id="docshape1" filled="true" fillcolor="#424242" stroked="false">
                <w10:anchorlock/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90"/>
                          <w:sz w:val="28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72"/>
                          <w:w w:val="150"/>
                          <w:sz w:val="28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Heading1"/>
        <w:spacing w:line="239" w:lineRule="exact"/>
      </w:pPr>
      <w:r>
        <w:rPr>
          <w:smallCaps/>
          <w:color w:val="424242"/>
          <w:w w:val="95"/>
        </w:rPr>
        <w:t>Contact</w:t>
      </w:r>
      <w:r>
        <w:rPr>
          <w:smallCaps/>
          <w:color w:val="424242"/>
          <w:spacing w:val="-3"/>
        </w:rPr>
        <w:t> </w:t>
      </w:r>
      <w:r>
        <w:rPr>
          <w:smallCaps/>
          <w:color w:val="424242"/>
          <w:spacing w:val="-2"/>
          <w:w w:val="90"/>
        </w:rPr>
        <w:t>Information</w:t>
      </w:r>
    </w:p>
    <w:p>
      <w:pPr>
        <w:pStyle w:val="BodyText"/>
        <w:spacing w:before="36"/>
        <w:rPr>
          <w:b/>
          <w:sz w:val="20"/>
        </w:rPr>
      </w:pPr>
    </w:p>
    <w:p>
      <w:pPr>
        <w:pStyle w:val="BodyText"/>
        <w:spacing w:before="1"/>
        <w:ind w:left="586"/>
      </w:pPr>
      <w:r>
        <w:rPr>
          <w:color w:val="FFFFFF"/>
          <w:w w:val="105"/>
        </w:rPr>
        <w:t>(507)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0111</w:t>
      </w:r>
    </w:p>
    <w:p>
      <w:pPr>
        <w:pStyle w:val="BodyText"/>
        <w:spacing w:before="17"/>
      </w:pPr>
      <w:r>
        <w:rPr/>
        <w:br w:type="column"/>
      </w:r>
      <w:r>
        <w:rPr/>
      </w:r>
    </w:p>
    <w:p>
      <w:pPr>
        <w:spacing w:line="268" w:lineRule="auto" w:before="0"/>
        <w:ind w:left="29" w:right="146" w:firstLine="0"/>
        <w:jc w:val="left"/>
        <w:rPr>
          <w:sz w:val="18"/>
        </w:rPr>
      </w:pPr>
      <w:r>
        <w:rPr>
          <w:sz w:val="18"/>
        </w:rPr>
        <w:t>PRIVATE EQUITY ASSOCIATE </w:t>
      </w:r>
      <w:r>
        <w:rPr>
          <w:position w:val="2"/>
          <w:sz w:val="18"/>
        </w:rPr>
        <w:t>| </w:t>
      </w:r>
      <w:r>
        <w:rPr>
          <w:sz w:val="18"/>
        </w:rPr>
        <w:t>COTTONWOOD BLUFF CAPITAL PARTNERS, MANKATO, MN</w:t>
      </w:r>
    </w:p>
    <w:p>
      <w:pPr>
        <w:pStyle w:val="Heading3"/>
        <w:spacing w:before="8"/>
      </w:pPr>
      <w:r>
        <w:rPr/>
        <w:t>2023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Heading3"/>
        <w:spacing w:after="0"/>
        <w:sectPr>
          <w:type w:val="continuous"/>
          <w:pgSz w:w="11920" w:h="16860"/>
          <w:pgMar w:top="0" w:bottom="0" w:left="566" w:right="0"/>
          <w:cols w:num="2" w:equalWidth="0">
            <w:col w:w="2649" w:space="1052"/>
            <w:col w:w="7653"/>
          </w:cols>
        </w:sectPr>
      </w:pPr>
    </w:p>
    <w:p>
      <w:pPr>
        <w:pStyle w:val="BodyText"/>
        <w:spacing w:line="278" w:lineRule="auto" w:before="63"/>
        <w:ind w:left="586" w:right="74"/>
      </w:pPr>
      <w:hyperlink r:id="rId5">
        <w:r>
          <w:rPr>
            <w:color w:val="FFFFFF"/>
            <w:spacing w:val="-2"/>
          </w:rPr>
          <w:t>darius.cisneros@example.co</w:t>
        </w:r>
      </w:hyperlink>
      <w:r>
        <w:rPr>
          <w:color w:val="FFFFFF"/>
          <w:spacing w:val="8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33"/>
      </w:pPr>
    </w:p>
    <w:p>
      <w:pPr>
        <w:pStyle w:val="BodyText"/>
        <w:ind w:left="586"/>
      </w:pPr>
      <w:r>
        <w:rPr>
          <w:color w:val="FFFFFF"/>
          <w:w w:val="105"/>
        </w:rPr>
        <w:t>Mankato,</w:t>
      </w:r>
      <w:r>
        <w:rPr>
          <w:color w:val="FFFFFF"/>
          <w:spacing w:val="8"/>
          <w:w w:val="105"/>
        </w:rPr>
        <w:t> </w:t>
      </w:r>
      <w:r>
        <w:rPr>
          <w:color w:val="FFFFFF"/>
          <w:w w:val="105"/>
        </w:rPr>
        <w:t>MN</w:t>
      </w:r>
      <w:r>
        <w:rPr>
          <w:color w:val="FFFFFF"/>
          <w:spacing w:val="7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p>
      <w:pPr>
        <w:pStyle w:val="Heading1"/>
      </w:pPr>
      <w:r>
        <w:rPr>
          <w:smallCaps/>
          <w:color w:val="424242"/>
        </w:rPr>
        <w:t>Key</w:t>
      </w:r>
      <w:r>
        <w:rPr>
          <w:smallCaps/>
          <w:color w:val="424242"/>
          <w:spacing w:val="-12"/>
        </w:rPr>
        <w:t> </w:t>
      </w:r>
      <w:r>
        <w:rPr>
          <w:smallCaps/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135" w:after="0"/>
        <w:ind w:left="326" w:right="280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Closed 5 transactions with combined deal value of $263M across healthcare services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specialty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distribution,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managing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execution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letter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intent</w:t>
      </w:r>
    </w:p>
    <w:p>
      <w:pPr>
        <w:pStyle w:val="BodyText"/>
        <w:spacing w:before="25"/>
        <w:ind w:left="326"/>
      </w:pPr>
      <w:r>
        <w:rPr>
          <w:w w:val="105"/>
        </w:rPr>
        <w:t>through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funding.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90" w:after="0"/>
        <w:ind w:left="326" w:right="326" w:hanging="298"/>
        <w:jc w:val="left"/>
        <w:rPr>
          <w:sz w:val="18"/>
        </w:rPr>
      </w:pPr>
      <w:r>
        <w:rPr>
          <w:w w:val="105"/>
          <w:sz w:val="18"/>
        </w:rPr>
        <w:t>Deployed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$174M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equity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capital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platform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investments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add-on acquisitions within a 14-month period.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81" w:after="0"/>
        <w:ind w:left="326" w:right="628" w:hanging="298"/>
        <w:jc w:val="left"/>
        <w:rPr>
          <w:sz w:val="18"/>
        </w:rPr>
      </w:pPr>
      <w:r>
        <w:rPr>
          <w:w w:val="105"/>
          <w:sz w:val="18"/>
        </w:rPr>
        <w:t>Drove post-acquisition revenue growth of 20.5% at a portfolio healthcare services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company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identifying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adjacent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lines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expansion.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0" w:bottom="0" w:left="566" w:right="0"/>
          <w:cols w:num="2" w:equalWidth="0">
            <w:col w:w="3070" w:space="1059"/>
            <w:col w:w="7225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163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16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Bloomberg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9" w:after="0"/>
        <w:ind w:left="475" w:right="311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Built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LBO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merger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models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stress-test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capital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structures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under 8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downside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scenarios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deal,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informing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bid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pricing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transaction.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0"/>
          <w:cols w:num="2" w:equalWidth="0">
            <w:col w:w="1444" w:space="2536"/>
            <w:col w:w="7374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33" w:lineRule="exact" w:before="1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LBO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Modeling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266" w:lineRule="exact" w:before="0" w:after="0"/>
        <w:ind w:left="473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M&amp;A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Execution</w:t>
      </w:r>
    </w:p>
    <w:p>
      <w:pPr>
        <w:spacing w:line="268" w:lineRule="auto" w:before="31"/>
        <w:ind w:left="177" w:right="661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PRIVATE EQUITY ANALYST </w:t>
      </w:r>
      <w:r>
        <w:rPr>
          <w:position w:val="2"/>
          <w:sz w:val="18"/>
        </w:rPr>
        <w:t>| </w:t>
      </w:r>
      <w:r>
        <w:rPr>
          <w:sz w:val="18"/>
        </w:rPr>
        <w:t>IRON RANGE GROWTH EQUITY, ROCHESTER, MN 2021 – 2023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0" w:bottom="0" w:left="566" w:right="0"/>
          <w:cols w:num="2" w:equalWidth="0">
            <w:col w:w="1821" w:space="1731"/>
            <w:col w:w="7802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45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Due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Diligence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30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Capital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w w:val="105"/>
          <w:sz w:val="18"/>
        </w:rPr>
        <w:t>Structure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20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Portfolio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Monitoring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22" w:lineRule="exact" w:before="0" w:after="0"/>
        <w:ind w:left="473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sz w:val="18"/>
        </w:rPr>
        <w:t>Comparable</w:t>
      </w:r>
      <w:r>
        <w:rPr>
          <w:color w:val="FFFFFF"/>
          <w:spacing w:val="61"/>
          <w:sz w:val="18"/>
        </w:rPr>
        <w:t> </w:t>
      </w:r>
      <w:r>
        <w:rPr>
          <w:color w:val="FFFFFF"/>
          <w:sz w:val="18"/>
        </w:rPr>
        <w:t>Company</w:t>
      </w:r>
      <w:r>
        <w:rPr>
          <w:color w:val="FFFFFF"/>
          <w:spacing w:val="42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33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Precedent</w:t>
      </w:r>
      <w:r>
        <w:rPr>
          <w:color w:val="FFFFFF"/>
          <w:spacing w:val="53"/>
          <w:sz w:val="18"/>
        </w:rPr>
        <w:t> </w:t>
      </w:r>
      <w:r>
        <w:rPr>
          <w:color w:val="FFFFFF"/>
          <w:spacing w:val="-2"/>
          <w:sz w:val="18"/>
        </w:rPr>
        <w:t>Transactions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FINRA</w:t>
      </w:r>
      <w:r>
        <w:rPr>
          <w:color w:val="FFFFFF"/>
          <w:spacing w:val="26"/>
          <w:sz w:val="18"/>
        </w:rPr>
        <w:t> </w:t>
      </w:r>
      <w:r>
        <w:rPr>
          <w:color w:val="FFFFFF"/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51" w:after="0"/>
        <w:ind w:left="475" w:right="61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Closed 4 transactions representing $164M in aggregate enterprise value across business services and industrial distribution sectors.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98" w:after="0"/>
        <w:ind w:left="475" w:right="416" w:hanging="298"/>
        <w:jc w:val="left"/>
        <w:rPr>
          <w:position w:val="-4"/>
          <w:sz w:val="31"/>
        </w:rPr>
      </w:pPr>
      <w:r>
        <w:rPr>
          <w:w w:val="105"/>
          <w:sz w:val="18"/>
        </w:rPr>
        <w:t>Supported deployment of $83M in committed capital by preparing detailed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investment analyses and coordinating with legal counsel on purchase</w:t>
      </w:r>
    </w:p>
    <w:p>
      <w:pPr>
        <w:pStyle w:val="BodyText"/>
        <w:spacing w:before="25"/>
        <w:ind w:left="475"/>
      </w:pPr>
      <w:r>
        <w:rPr>
          <w:spacing w:val="-2"/>
          <w:w w:val="105"/>
        </w:rPr>
        <w:t>agreements.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89" w:after="0"/>
        <w:ind w:left="475" w:right="912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Contributed to a 10.8% year-over-year revenue increase at a portfolio logistics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company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analyzing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concentration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26"/>
        <w:ind w:left="475"/>
      </w:pPr>
      <w:r>
        <w:rPr>
          <w:w w:val="105"/>
        </w:rPr>
        <w:t>recommending</w:t>
      </w:r>
      <w:r>
        <w:rPr>
          <w:spacing w:val="43"/>
          <w:w w:val="105"/>
        </w:rPr>
        <w:t> </w:t>
      </w:r>
      <w:r>
        <w:rPr>
          <w:w w:val="105"/>
        </w:rPr>
        <w:t>pricing</w:t>
      </w:r>
      <w:r>
        <w:rPr>
          <w:spacing w:val="43"/>
          <w:w w:val="105"/>
        </w:rPr>
        <w:t> </w:t>
      </w:r>
      <w:r>
        <w:rPr>
          <w:spacing w:val="-2"/>
          <w:w w:val="105"/>
        </w:rPr>
        <w:t>adjustments.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1" w:after="0"/>
        <w:ind w:left="475" w:right="309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Tracked monthly operating metrics for portfolio companies using Bloomberg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Excel,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flagging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variances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48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deadlines.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0"/>
          <w:cols w:num="2" w:equalWidth="0">
            <w:col w:w="3206" w:space="774"/>
            <w:col w:w="7374"/>
          </w:cols>
        </w:sectPr>
      </w:pPr>
    </w:p>
    <w:p>
      <w:pPr>
        <w:pStyle w:val="BodyText"/>
        <w:spacing w:before="9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74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572000"/>
                                </a:moveTo>
                                <a:lnTo>
                                  <a:pt x="0" y="4572000"/>
                                </a:lnTo>
                                <a:lnTo>
                                  <a:pt x="0" y="1024890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10248900"/>
                                </a:lnTo>
                                <a:lnTo>
                                  <a:pt x="2571737" y="45720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895600"/>
                                </a:moveTo>
                                <a:lnTo>
                                  <a:pt x="0" y="2895600"/>
                                </a:lnTo>
                                <a:lnTo>
                                  <a:pt x="0" y="4324350"/>
                                </a:lnTo>
                                <a:lnTo>
                                  <a:pt x="2571737" y="4324350"/>
                                </a:lnTo>
                                <a:lnTo>
                                  <a:pt x="2571737" y="28956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57475"/>
                                </a:lnTo>
                                <a:lnTo>
                                  <a:pt x="2571737" y="2657475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57474"/>
                            <a:ext cx="257175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14525">
                                <a:moveTo>
                                  <a:pt x="2571737" y="1666875"/>
                                </a:moveTo>
                                <a:lnTo>
                                  <a:pt x="0" y="1666875"/>
                                </a:lnTo>
                                <a:lnTo>
                                  <a:pt x="0" y="1914525"/>
                                </a:lnTo>
                                <a:lnTo>
                                  <a:pt x="2571737" y="1914525"/>
                                </a:lnTo>
                                <a:lnTo>
                                  <a:pt x="2571737" y="1666875"/>
                                </a:lnTo>
                                <a:close/>
                              </a:path>
                              <a:path w="2571750" h="191452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571737" y="23812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2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4" y="476249"/>
                            <a:ext cx="1600199" cy="1695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1" y="3019424"/>
                            <a:ext cx="153439" cy="153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380" y="3400425"/>
                            <a:ext cx="133180" cy="153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742" y="3781425"/>
                            <a:ext cx="152456" cy="1534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9056" id="docshapegroup2" coordorigin="0,0" coordsize="4050,16860">
                <v:shape style="position:absolute;left:0;top:0;width:4050;height:16860" id="docshape3" coordorigin="0,0" coordsize="4050,16860" path="m4050,7200l0,7200,0,16140,0,16860,4050,16860,4050,16140,4050,7200xm4050,4560l0,4560,0,6810,4050,6810,4050,4560xm4050,0l0,0,0,4110,0,4185,4050,4185,4050,4110,4050,0xe" filled="true" fillcolor="#424242" stroked="false">
                  <v:path arrowok="t"/>
                  <v:fill type="solid"/>
                </v:shape>
                <v:shape style="position:absolute;left:0;top:4185;width:4050;height:3015" id="docshape4" coordorigin="0,4185" coordsize="4050,3015" path="m4050,6810l0,6810,0,7200,4050,7200,4050,6810xm4050,4185l0,4185,0,4560,4050,4560,4050,4185xe" filled="true" fillcolor="#f2c232" stroked="false">
                  <v:path arrowok="t"/>
                  <v:fill type="solid"/>
                </v:shape>
                <v:shape style="position:absolute;left:765;top:750;width:2520;height:2670" type="#_x0000_t75" id="docshape5" stroked="false">
                  <v:imagedata r:id="rId6" o:title=""/>
                </v:shape>
                <v:shape style="position:absolute;left:750;top:4755;width:242;height:242" type="#_x0000_t75" id="docshape6" stroked="false">
                  <v:imagedata r:id="rId7" o:title=""/>
                </v:shape>
                <v:shape style="position:absolute;left:765;top:5355;width:210;height:242" type="#_x0000_t75" id="docshape7" stroked="false">
                  <v:imagedata r:id="rId8" o:title=""/>
                </v:shape>
                <v:shape style="position:absolute;left:750;top:5955;width:241;height:242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68" w:lineRule="auto" w:before="0"/>
        <w:ind w:left="3730" w:right="158" w:firstLine="0"/>
        <w:jc w:val="left"/>
        <w:rPr>
          <w:sz w:val="18"/>
        </w:rPr>
      </w:pPr>
      <w:r>
        <w:rPr>
          <w:sz w:val="18"/>
        </w:rPr>
        <w:t>INVESTMENT BANKING ANALYST </w:t>
      </w:r>
      <w:r>
        <w:rPr>
          <w:position w:val="2"/>
          <w:sz w:val="18"/>
        </w:rPr>
        <w:t>| </w:t>
      </w:r>
      <w:r>
        <w:rPr>
          <w:sz w:val="18"/>
        </w:rPr>
        <w:t>PRAIRIE CREST ADVISORY GROUP, ST. CLOUD, </w:t>
      </w:r>
      <w:r>
        <w:rPr>
          <w:spacing w:val="-6"/>
          <w:sz w:val="18"/>
        </w:rPr>
        <w:t>MN</w:t>
      </w:r>
    </w:p>
    <w:p>
      <w:pPr>
        <w:pStyle w:val="BodyText"/>
        <w:spacing w:before="8"/>
        <w:ind w:left="3730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2"/>
          <w:numId w:val="1"/>
        </w:numPr>
        <w:tabs>
          <w:tab w:pos="4453" w:val="left" w:leader="none"/>
          <w:tab w:pos="4455" w:val="left" w:leader="none"/>
        </w:tabs>
        <w:spacing w:line="201" w:lineRule="auto" w:before="134" w:after="0"/>
        <w:ind w:left="4455" w:right="736" w:hanging="298"/>
        <w:jc w:val="left"/>
        <w:rPr>
          <w:sz w:val="18"/>
        </w:rPr>
      </w:pPr>
      <w:r>
        <w:rPr>
          <w:w w:val="105"/>
          <w:sz w:val="18"/>
        </w:rPr>
        <w:t>Executed sell-side and buy-side M&amp;A engagements for middle-market clients,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supporting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closed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transactions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deal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values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$26M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to</w:t>
      </w:r>
    </w:p>
    <w:p>
      <w:pPr>
        <w:pStyle w:val="Heading3"/>
        <w:spacing w:before="41"/>
        <w:ind w:left="4455"/>
      </w:pPr>
      <w:r>
        <w:rPr>
          <w:spacing w:val="-2"/>
          <w:w w:val="105"/>
        </w:rPr>
        <w:t>$79M.</w:t>
      </w:r>
    </w:p>
    <w:p>
      <w:pPr>
        <w:pStyle w:val="ListParagraph"/>
        <w:numPr>
          <w:ilvl w:val="2"/>
          <w:numId w:val="1"/>
        </w:numPr>
        <w:tabs>
          <w:tab w:pos="4453" w:val="left" w:leader="none"/>
          <w:tab w:pos="4455" w:val="left" w:leader="none"/>
        </w:tabs>
        <w:spacing w:line="201" w:lineRule="auto" w:before="74" w:after="0"/>
        <w:ind w:left="4455" w:right="632" w:hanging="298"/>
        <w:jc w:val="left"/>
        <w:rPr>
          <w:sz w:val="18"/>
        </w:rPr>
      </w:pPr>
      <w:r>
        <w:rPr>
          <w:w w:val="105"/>
          <w:sz w:val="18"/>
        </w:rPr>
        <w:t>Prepared confidential information memoranda and management presentations,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drafting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turnaround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per</w:t>
      </w:r>
    </w:p>
    <w:p>
      <w:pPr>
        <w:pStyle w:val="BodyText"/>
        <w:spacing w:before="25"/>
        <w:ind w:left="4455"/>
      </w:pPr>
      <w:r>
        <w:rPr>
          <w:spacing w:val="-2"/>
          <w:w w:val="105"/>
        </w:rPr>
        <w:t>engagement.</w:t>
      </w:r>
    </w:p>
    <w:p>
      <w:pPr>
        <w:pStyle w:val="ListParagraph"/>
        <w:numPr>
          <w:ilvl w:val="2"/>
          <w:numId w:val="1"/>
        </w:numPr>
        <w:tabs>
          <w:tab w:pos="4453" w:val="left" w:leader="none"/>
          <w:tab w:pos="4455" w:val="left" w:leader="none"/>
        </w:tabs>
        <w:spacing w:line="201" w:lineRule="auto" w:before="90" w:after="0"/>
        <w:ind w:left="4455" w:right="613" w:hanging="298"/>
        <w:jc w:val="left"/>
        <w:rPr>
          <w:sz w:val="18"/>
        </w:rPr>
      </w:pPr>
      <w:r>
        <w:rPr>
          <w:w w:val="105"/>
          <w:sz w:val="18"/>
        </w:rPr>
        <w:t>Conducted comparable company and precedent transaction analyses 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Excel for 7 active mandates, delivering initial outputs within 36 hours of</w:t>
      </w:r>
    </w:p>
    <w:p>
      <w:pPr>
        <w:pStyle w:val="BodyText"/>
        <w:spacing w:before="25"/>
        <w:ind w:left="4455"/>
      </w:pPr>
      <w:r>
        <w:rPr>
          <w:w w:val="105"/>
        </w:rPr>
        <w:t>engagement</w:t>
      </w:r>
      <w:r>
        <w:rPr>
          <w:spacing w:val="33"/>
          <w:w w:val="105"/>
        </w:rPr>
        <w:t> </w:t>
      </w:r>
      <w:r>
        <w:rPr>
          <w:spacing w:val="-2"/>
          <w:w w:val="105"/>
        </w:rPr>
        <w:t>kickoff.</w:t>
      </w:r>
    </w:p>
    <w:p>
      <w:pPr>
        <w:pStyle w:val="BodyText"/>
        <w:spacing w:before="9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2647949</wp:posOffset>
                </wp:positionH>
                <wp:positionV relativeFrom="paragraph">
                  <wp:posOffset>137911</wp:posOffset>
                </wp:positionV>
                <wp:extent cx="4920615" cy="24765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920615" cy="24765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0.859147pt;width:387.45pt;height:19.5pt;mso-position-horizontal-relative:page;mso-position-vertical-relative:paragraph;z-index:-15728128;mso-wrap-distance-left:0;mso-wrap-distance-right:0" type="#_x0000_t202" id="docshape9" filled="true" fillcolor="#424242" stroked="false">
                <v:textbox inset="0,0,0,0">
                  <w:txbxContent>
                    <w:p>
                      <w:pPr>
                        <w:spacing w:before="7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Education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2"/>
      </w:pPr>
    </w:p>
    <w:p>
      <w:pPr>
        <w:pStyle w:val="BodyText"/>
        <w:ind w:left="3730"/>
      </w:pPr>
      <w:r>
        <w:rPr/>
        <w:t>BSB</w:t>
      </w:r>
      <w:r>
        <w:rPr>
          <w:spacing w:val="26"/>
        </w:rPr>
        <w:t> </w:t>
      </w:r>
      <w:r>
        <w:rPr/>
        <w:t>in</w:t>
      </w:r>
      <w:r>
        <w:rPr>
          <w:spacing w:val="27"/>
        </w:rPr>
        <w:t> </w:t>
      </w:r>
      <w:r>
        <w:rPr/>
        <w:t>Finance</w:t>
      </w:r>
      <w:r>
        <w:rPr>
          <w:spacing w:val="28"/>
        </w:rPr>
        <w:t> </w:t>
      </w:r>
      <w:r>
        <w:rPr>
          <w:position w:val="2"/>
        </w:rPr>
        <w:t>|</w:t>
      </w:r>
      <w:r>
        <w:rPr>
          <w:spacing w:val="28"/>
          <w:position w:val="2"/>
        </w:rPr>
        <w:t> </w:t>
      </w:r>
      <w:r>
        <w:rPr/>
        <w:t>University</w:t>
      </w:r>
      <w:r>
        <w:rPr>
          <w:spacing w:val="28"/>
        </w:rPr>
        <w:t> </w:t>
      </w:r>
      <w:r>
        <w:rPr/>
        <w:t>of</w:t>
      </w:r>
      <w:r>
        <w:rPr>
          <w:spacing w:val="28"/>
        </w:rPr>
        <w:t> </w:t>
      </w:r>
      <w:r>
        <w:rPr>
          <w:spacing w:val="-2"/>
        </w:rPr>
        <w:t>Minnesota</w:t>
      </w:r>
    </w:p>
    <w:p>
      <w:pPr>
        <w:pStyle w:val="BodyText"/>
        <w:spacing w:before="28"/>
        <w:ind w:left="3730"/>
      </w:pPr>
      <w:r>
        <w:rPr/>
        <w:t>Minneapolis,</w:t>
      </w:r>
      <w:r>
        <w:rPr>
          <w:spacing w:val="27"/>
        </w:rPr>
        <w:t> </w:t>
      </w:r>
      <w:r>
        <w:rPr/>
        <w:t>MN</w:t>
      </w:r>
      <w:r>
        <w:rPr>
          <w:spacing w:val="27"/>
        </w:rPr>
        <w:t> </w:t>
      </w:r>
      <w:r>
        <w:rPr>
          <w:position w:val="2"/>
        </w:rPr>
        <w:t>|</w:t>
      </w:r>
      <w:r>
        <w:rPr>
          <w:spacing w:val="28"/>
          <w:position w:val="2"/>
        </w:rPr>
        <w:t> </w:t>
      </w:r>
      <w:r>
        <w:rPr/>
        <w:t>2016</w:t>
      </w:r>
      <w:r>
        <w:rPr>
          <w:spacing w:val="27"/>
        </w:rPr>
        <w:t> </w:t>
      </w:r>
      <w:r>
        <w:rPr/>
        <w:t>–</w:t>
      </w:r>
      <w:r>
        <w:rPr>
          <w:spacing w:val="28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5717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0" h="10706100">
                              <a:moveTo>
                                <a:pt x="2571737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571737" y="10706087"/>
                              </a:lnTo>
                              <a:lnTo>
                                <a:pt x="2571737" y="8096250"/>
                              </a:lnTo>
                              <a:lnTo>
                                <a:pt x="2571737" y="2609850"/>
                              </a:lnTo>
                              <a:lnTo>
                                <a:pt x="2571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202.5pt;height:843pt;mso-position-horizontal-relative:page;mso-position-vertical-relative:page;z-index:15730176" id="docshape10" coordorigin="0,0" coordsize="4050,16860" path="m4050,0l0,0,0,4110,0,12750,0,16860,4050,16860,4050,12750,4050,4110,405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6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8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9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9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3618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9"/>
      <w:outlineLvl w:val="3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7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rius.cisneros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2026-10-08T10:43:28Z</dcterms:created>
  <dcterms:modified xsi:type="dcterms:W3CDTF">2026-10-08T10:43:28Z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