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908" w:lineRule="exact" w:before="0"/>
        <w:ind w:left="3610" w:right="0" w:firstLine="0"/>
        <w:jc w:val="center"/>
        <w:rPr>
          <w:sz w:val="83"/>
        </w:rPr>
      </w:pPr>
      <w:r>
        <w:rPr>
          <w:color w:val="134E5C"/>
          <w:sz w:val="83"/>
        </w:rPr>
        <w:t>Joaquin</w:t>
      </w:r>
      <w:r>
        <w:rPr>
          <w:color w:val="134E5C"/>
          <w:spacing w:val="-6"/>
          <w:sz w:val="83"/>
        </w:rPr>
        <w:t> </w:t>
      </w:r>
      <w:r>
        <w:rPr>
          <w:color w:val="646464"/>
          <w:spacing w:val="-2"/>
          <w:sz w:val="83"/>
        </w:rPr>
        <w:t>Hollis</w:t>
      </w:r>
    </w:p>
    <w:p>
      <w:pPr>
        <w:spacing w:before="161"/>
        <w:ind w:left="3610" w:right="0" w:firstLine="0"/>
        <w:jc w:val="center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2162174</wp:posOffset>
                </wp:positionH>
                <wp:positionV relativeFrom="paragraph">
                  <wp:posOffset>364560</wp:posOffset>
                </wp:positionV>
                <wp:extent cx="5406390" cy="1524000"/>
                <wp:effectExtent l="0" t="0" r="0" b="0"/>
                <wp:wrapNone/>
                <wp:docPr id="1" name="Textbox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Textbox 1"/>
                      <wps:cNvSpPr txBox="1"/>
                      <wps:spPr>
                        <a:xfrm>
                          <a:off x="0" y="0"/>
                          <a:ext cx="5406390" cy="1524000"/>
                        </a:xfrm>
                        <a:prstGeom prst="rect">
                          <a:avLst/>
                        </a:prstGeom>
                        <a:solidFill>
                          <a:srgbClr val="134E5C"/>
                        </a:solidFill>
                      </wps:spPr>
                      <wps:txbx>
                        <w:txbxContent>
                          <w:p>
                            <w:pPr>
                              <w:spacing w:line="290" w:lineRule="auto" w:before="172"/>
                              <w:ind w:left="843" w:right="556" w:hanging="1"/>
                              <w:jc w:val="center"/>
                              <w:rPr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color w:val="FFFFFF"/>
                                <w:sz w:val="20"/>
                              </w:rPr>
                              <w:t>Underwriting assistant with 2 years of experience processing agent referrals, generating risk reports, and preparing reinsurance placement summaries in commercial insurance settings. Earned a 98.09% compliance audit score by cross-referencing every submission against carrier underwriting guidelines and ISO underwriting rules before forwarding to senior underwriters. Proﬁcient in</w:t>
                            </w:r>
                          </w:p>
                          <w:p>
                            <w:pPr>
                              <w:spacing w:line="297" w:lineRule="auto" w:before="4"/>
                              <w:ind w:left="689" w:right="403" w:firstLine="0"/>
                              <w:jc w:val="center"/>
                              <w:rPr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color w:val="FFFFFF"/>
                                <w:sz w:val="20"/>
                              </w:rPr>
                              <w:t>Microsoft Excel and Insly for policy documentation, loss run analysis, and ﬁnancial statement review.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170.249985pt;margin-top:28.705585pt;width:425.7pt;height:120pt;mso-position-horizontal-relative:page;mso-position-vertical-relative:paragraph;z-index:15729152" type="#_x0000_t202" id="docshape1" filled="true" fillcolor="#134e5c" stroked="false">
                <v:textbox inset="0,0,0,0">
                  <w:txbxContent>
                    <w:p>
                      <w:pPr>
                        <w:spacing w:line="290" w:lineRule="auto" w:before="172"/>
                        <w:ind w:left="843" w:right="556" w:hanging="1"/>
                        <w:jc w:val="center"/>
                        <w:rPr>
                          <w:color w:val="000000"/>
                          <w:sz w:val="20"/>
                        </w:rPr>
                      </w:pPr>
                      <w:r>
                        <w:rPr>
                          <w:color w:val="FFFFFF"/>
                          <w:sz w:val="20"/>
                        </w:rPr>
                        <w:t>Underwriting assistant with 2 years of experience processing agent referrals, generating risk reports, and preparing reinsurance placement summaries in commercial insurance settings. Earned a 98.09% compliance audit score by cross-referencing every submission against carrier underwriting guidelines and ISO underwriting rules before forwarding to senior underwriters. Proﬁcient in</w:t>
                      </w:r>
                    </w:p>
                    <w:p>
                      <w:pPr>
                        <w:spacing w:line="297" w:lineRule="auto" w:before="4"/>
                        <w:ind w:left="689" w:right="403" w:firstLine="0"/>
                        <w:jc w:val="center"/>
                        <w:rPr>
                          <w:color w:val="000000"/>
                          <w:sz w:val="20"/>
                        </w:rPr>
                      </w:pPr>
                      <w:r>
                        <w:rPr>
                          <w:color w:val="FFFFFF"/>
                          <w:sz w:val="20"/>
                        </w:rPr>
                        <w:t>Microsoft Excel and Insly for policy documentation, loss run analysis, and ﬁnancial statement review.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>
          <w:color w:val="134E5C"/>
          <w:sz w:val="20"/>
        </w:rPr>
        <w:t>Underwriting </w:t>
      </w:r>
      <w:r>
        <w:rPr>
          <w:color w:val="134E5C"/>
          <w:spacing w:val="-2"/>
          <w:sz w:val="20"/>
        </w:rPr>
        <w:t>Assistant</w:t>
      </w:r>
    </w:p>
    <w:p>
      <w:pPr>
        <w:pStyle w:val="BodyText"/>
        <w:ind w:left="0"/>
        <w:rPr>
          <w:sz w:val="20"/>
        </w:rPr>
      </w:pPr>
    </w:p>
    <w:p>
      <w:pPr>
        <w:pStyle w:val="BodyText"/>
        <w:ind w:left="0"/>
        <w:rPr>
          <w:sz w:val="20"/>
        </w:rPr>
      </w:pPr>
    </w:p>
    <w:p>
      <w:pPr>
        <w:pStyle w:val="BodyText"/>
        <w:ind w:left="0"/>
        <w:rPr>
          <w:sz w:val="20"/>
        </w:rPr>
      </w:pPr>
    </w:p>
    <w:p>
      <w:pPr>
        <w:pStyle w:val="BodyText"/>
        <w:ind w:left="0"/>
        <w:rPr>
          <w:sz w:val="20"/>
        </w:rPr>
      </w:pPr>
    </w:p>
    <w:p>
      <w:pPr>
        <w:pStyle w:val="BodyText"/>
        <w:ind w:left="0"/>
        <w:rPr>
          <w:sz w:val="20"/>
        </w:rPr>
      </w:pPr>
    </w:p>
    <w:p>
      <w:pPr>
        <w:pStyle w:val="BodyText"/>
        <w:ind w:left="0"/>
        <w:rPr>
          <w:sz w:val="20"/>
        </w:rPr>
      </w:pPr>
    </w:p>
    <w:p>
      <w:pPr>
        <w:pStyle w:val="BodyText"/>
        <w:ind w:left="0"/>
        <w:rPr>
          <w:sz w:val="20"/>
        </w:rPr>
      </w:pPr>
    </w:p>
    <w:p>
      <w:pPr>
        <w:pStyle w:val="BodyText"/>
        <w:ind w:left="0"/>
        <w:rPr>
          <w:sz w:val="20"/>
        </w:rPr>
      </w:pPr>
    </w:p>
    <w:p>
      <w:pPr>
        <w:pStyle w:val="BodyText"/>
        <w:ind w:left="0"/>
        <w:rPr>
          <w:sz w:val="20"/>
        </w:rPr>
      </w:pPr>
    </w:p>
    <w:p>
      <w:pPr>
        <w:pStyle w:val="BodyText"/>
        <w:spacing w:before="87"/>
        <w:ind w:left="0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780" w:bottom="280" w:left="283" w:right="0"/>
        </w:sectPr>
      </w:pPr>
    </w:p>
    <w:p>
      <w:pPr>
        <w:pStyle w:val="Heading1"/>
        <w:spacing w:line="261" w:lineRule="auto" w:before="61"/>
        <w:ind w:right="1043"/>
      </w:pPr>
      <w:r>
        <w:rPr>
          <w:color w:val="134E5C"/>
          <w:spacing w:val="-2"/>
        </w:rPr>
        <w:t>CONTACT INFORMATION</w:t>
      </w:r>
    </w:p>
    <w:p>
      <w:pPr>
        <w:spacing w:before="201"/>
        <w:ind w:left="740" w:right="0" w:firstLine="0"/>
        <w:jc w:val="left"/>
        <w:rPr>
          <w:sz w:val="20"/>
        </w:rPr>
      </w:pPr>
      <w:r>
        <w:rPr>
          <w:color w:val="134E5C"/>
          <w:sz w:val="20"/>
        </w:rPr>
        <w:t>(218)</w:t>
      </w:r>
      <w:r>
        <w:rPr>
          <w:color w:val="134E5C"/>
          <w:spacing w:val="10"/>
          <w:sz w:val="20"/>
        </w:rPr>
        <w:t> </w:t>
      </w:r>
      <w:r>
        <w:rPr>
          <w:color w:val="134E5C"/>
          <w:sz w:val="20"/>
        </w:rPr>
        <w:t>555-</w:t>
      </w:r>
      <w:r>
        <w:rPr>
          <w:color w:val="134E5C"/>
          <w:spacing w:val="-4"/>
          <w:sz w:val="20"/>
        </w:rPr>
        <w:t>0118</w:t>
      </w:r>
    </w:p>
    <w:p>
      <w:pPr>
        <w:spacing w:line="266" w:lineRule="auto" w:before="175"/>
        <w:ind w:left="740" w:right="0" w:firstLine="0"/>
        <w:jc w:val="left"/>
        <w:rPr>
          <w:sz w:val="20"/>
        </w:rPr>
      </w:pPr>
      <w:r>
        <w:rPr>
          <w:color w:val="134E5C"/>
          <w:spacing w:val="-2"/>
          <w:sz w:val="20"/>
        </w:rPr>
        <w:t>joaquin.hollis@exampl e.com</w:t>
      </w:r>
    </w:p>
    <w:p>
      <w:pPr>
        <w:spacing w:line="266" w:lineRule="auto" w:before="119"/>
        <w:ind w:left="740" w:right="44" w:firstLine="0"/>
        <w:jc w:val="left"/>
        <w:rPr>
          <w:sz w:val="20"/>
        </w:rPr>
      </w:pPr>
      <w:r>
        <w:rPr>
          <w:color w:val="134E5C"/>
          <w:sz w:val="20"/>
        </w:rPr>
        <w:t>Fergus</w:t>
      </w:r>
      <w:r>
        <w:rPr>
          <w:color w:val="134E5C"/>
          <w:spacing w:val="-2"/>
          <w:sz w:val="20"/>
        </w:rPr>
        <w:t> </w:t>
      </w:r>
      <w:r>
        <w:rPr>
          <w:color w:val="134E5C"/>
          <w:sz w:val="20"/>
        </w:rPr>
        <w:t>Falls,</w:t>
      </w:r>
      <w:r>
        <w:rPr>
          <w:color w:val="134E5C"/>
          <w:spacing w:val="-2"/>
          <w:sz w:val="20"/>
        </w:rPr>
        <w:t> </w:t>
      </w:r>
      <w:r>
        <w:rPr>
          <w:color w:val="134E5C"/>
          <w:sz w:val="20"/>
        </w:rPr>
        <w:t>MN </w:t>
      </w:r>
      <w:r>
        <w:rPr>
          <w:color w:val="134E5C"/>
          <w:spacing w:val="-2"/>
          <w:sz w:val="20"/>
        </w:rPr>
        <w:t>12345</w:t>
      </w:r>
    </w:p>
    <w:p>
      <w:pPr>
        <w:pStyle w:val="BodyText"/>
        <w:ind w:left="0"/>
        <w:rPr>
          <w:sz w:val="20"/>
        </w:rPr>
      </w:pPr>
    </w:p>
    <w:p>
      <w:pPr>
        <w:pStyle w:val="BodyText"/>
        <w:spacing w:before="102"/>
        <w:ind w:left="0"/>
        <w:rPr>
          <w:sz w:val="20"/>
        </w:rPr>
      </w:pPr>
    </w:p>
    <w:p>
      <w:pPr>
        <w:pStyle w:val="Heading1"/>
      </w:pPr>
      <w:r>
        <w:rPr>
          <w:color w:val="134E5C"/>
        </w:rPr>
        <w:t>KEY</w:t>
      </w:r>
      <w:r>
        <w:rPr>
          <w:color w:val="134E5C"/>
          <w:spacing w:val="-6"/>
        </w:rPr>
        <w:t> </w:t>
      </w:r>
      <w:r>
        <w:rPr>
          <w:color w:val="134E5C"/>
          <w:spacing w:val="-2"/>
        </w:rPr>
        <w:t>SKILLS</w:t>
      </w:r>
    </w:p>
    <w:p>
      <w:pPr>
        <w:pStyle w:val="BodyText"/>
        <w:spacing w:before="235"/>
        <w:ind w:left="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spacing w:before="0"/>
        <w:ind w:left="108" w:right="0" w:firstLine="0"/>
        <w:jc w:val="left"/>
        <w:rPr>
          <w:sz w:val="24"/>
        </w:rPr>
      </w:pPr>
      <w:r>
        <w:rPr>
          <w:color w:val="134E5C"/>
          <w:spacing w:val="-2"/>
          <w:sz w:val="24"/>
        </w:rPr>
        <w:t>PROFESSIONAL</w:t>
      </w:r>
      <w:r>
        <w:rPr>
          <w:color w:val="134E5C"/>
          <w:spacing w:val="4"/>
          <w:sz w:val="24"/>
        </w:rPr>
        <w:t> </w:t>
      </w:r>
      <w:r>
        <w:rPr>
          <w:color w:val="134E5C"/>
          <w:spacing w:val="-2"/>
          <w:sz w:val="24"/>
        </w:rPr>
        <w:t>EXPERIENCE</w:t>
      </w:r>
    </w:p>
    <w:p>
      <w:pPr>
        <w:spacing w:before="166"/>
        <w:ind w:left="108" w:right="0" w:firstLine="0"/>
        <w:jc w:val="left"/>
        <w:rPr>
          <w:sz w:val="20"/>
        </w:rPr>
      </w:pPr>
      <w:r>
        <w:rPr>
          <w:sz w:val="20"/>
        </w:rPr>
        <w:t>Underwriting</w:t>
      </w:r>
      <w:r>
        <w:rPr>
          <w:spacing w:val="-9"/>
          <w:sz w:val="20"/>
        </w:rPr>
        <w:t> </w:t>
      </w:r>
      <w:r>
        <w:rPr>
          <w:sz w:val="20"/>
        </w:rPr>
        <w:t>Assistant</w:t>
      </w:r>
      <w:r>
        <w:rPr>
          <w:spacing w:val="4"/>
          <w:sz w:val="20"/>
        </w:rPr>
        <w:t> </w:t>
      </w:r>
      <w:r>
        <w:rPr>
          <w:color w:val="134E5C"/>
          <w:sz w:val="20"/>
        </w:rPr>
        <w:t>|</w:t>
      </w:r>
      <w:r>
        <w:rPr>
          <w:color w:val="134E5C"/>
          <w:spacing w:val="4"/>
          <w:sz w:val="20"/>
        </w:rPr>
        <w:t> </w:t>
      </w:r>
      <w:r>
        <w:rPr>
          <w:color w:val="134E5C"/>
          <w:sz w:val="20"/>
        </w:rPr>
        <w:t>Otter</w:t>
      </w:r>
      <w:r>
        <w:rPr>
          <w:color w:val="134E5C"/>
          <w:spacing w:val="5"/>
          <w:sz w:val="20"/>
        </w:rPr>
        <w:t> </w:t>
      </w:r>
      <w:r>
        <w:rPr>
          <w:color w:val="134E5C"/>
          <w:sz w:val="20"/>
        </w:rPr>
        <w:t>Tail</w:t>
      </w:r>
      <w:r>
        <w:rPr>
          <w:color w:val="134E5C"/>
          <w:spacing w:val="4"/>
          <w:sz w:val="20"/>
        </w:rPr>
        <w:t> </w:t>
      </w:r>
      <w:r>
        <w:rPr>
          <w:color w:val="134E5C"/>
          <w:sz w:val="20"/>
        </w:rPr>
        <w:t>Basin</w:t>
      </w:r>
      <w:r>
        <w:rPr>
          <w:color w:val="134E5C"/>
          <w:spacing w:val="4"/>
          <w:sz w:val="20"/>
        </w:rPr>
        <w:t> </w:t>
      </w:r>
      <w:r>
        <w:rPr>
          <w:color w:val="134E5C"/>
          <w:sz w:val="20"/>
        </w:rPr>
        <w:t>Insurance</w:t>
      </w:r>
      <w:r>
        <w:rPr>
          <w:color w:val="134E5C"/>
          <w:spacing w:val="4"/>
          <w:sz w:val="20"/>
        </w:rPr>
        <w:t> </w:t>
      </w:r>
      <w:r>
        <w:rPr>
          <w:color w:val="134E5C"/>
          <w:sz w:val="20"/>
        </w:rPr>
        <w:t>Group,</w:t>
      </w:r>
      <w:r>
        <w:rPr>
          <w:color w:val="134E5C"/>
          <w:spacing w:val="4"/>
          <w:sz w:val="20"/>
        </w:rPr>
        <w:t> </w:t>
      </w:r>
      <w:r>
        <w:rPr>
          <w:color w:val="134E5C"/>
          <w:sz w:val="20"/>
        </w:rPr>
        <w:t>Fergus</w:t>
      </w:r>
      <w:r>
        <w:rPr>
          <w:color w:val="134E5C"/>
          <w:spacing w:val="5"/>
          <w:sz w:val="20"/>
        </w:rPr>
        <w:t> </w:t>
      </w:r>
      <w:r>
        <w:rPr>
          <w:color w:val="134E5C"/>
          <w:sz w:val="20"/>
        </w:rPr>
        <w:t>Falls,</w:t>
      </w:r>
      <w:r>
        <w:rPr>
          <w:color w:val="134E5C"/>
          <w:spacing w:val="4"/>
          <w:sz w:val="20"/>
        </w:rPr>
        <w:t> </w:t>
      </w:r>
      <w:r>
        <w:rPr>
          <w:color w:val="134E5C"/>
          <w:spacing w:val="-5"/>
          <w:sz w:val="20"/>
        </w:rPr>
        <w:t>MN</w:t>
      </w:r>
    </w:p>
    <w:p>
      <w:pPr>
        <w:pStyle w:val="BodyText"/>
        <w:spacing w:before="29"/>
        <w:ind w:left="108"/>
      </w:pPr>
      <w:r>
        <w:rPr>
          <w:color w:val="134E5C"/>
          <w:w w:val="105"/>
        </w:rPr>
        <w:t>2025</w:t>
      </w:r>
      <w:r>
        <w:rPr>
          <w:color w:val="134E5C"/>
          <w:spacing w:val="-8"/>
          <w:w w:val="105"/>
        </w:rPr>
        <w:t> </w:t>
      </w:r>
      <w:r>
        <w:rPr>
          <w:color w:val="134E5C"/>
          <w:w w:val="105"/>
        </w:rPr>
        <w:t>-</w:t>
      </w:r>
      <w:r>
        <w:rPr>
          <w:color w:val="134E5C"/>
          <w:spacing w:val="-8"/>
          <w:w w:val="105"/>
        </w:rPr>
        <w:t> </w:t>
      </w:r>
      <w:r>
        <w:rPr>
          <w:color w:val="134E5C"/>
          <w:spacing w:val="-2"/>
          <w:w w:val="105"/>
        </w:rPr>
        <w:t>Present</w:t>
      </w:r>
    </w:p>
    <w:p>
      <w:pPr>
        <w:pStyle w:val="ListParagraph"/>
        <w:numPr>
          <w:ilvl w:val="0"/>
          <w:numId w:val="1"/>
        </w:numPr>
        <w:tabs>
          <w:tab w:pos="759" w:val="left" w:leader="none"/>
        </w:tabs>
        <w:spacing w:line="268" w:lineRule="auto" w:before="138" w:after="0"/>
        <w:ind w:left="759" w:right="401" w:hanging="298"/>
        <w:jc w:val="left"/>
        <w:rPr>
          <w:sz w:val="18"/>
        </w:rPr>
      </w:pPr>
      <w:r>
        <w:rPr>
          <w:color w:val="134E5C"/>
          <w:w w:val="105"/>
          <w:sz w:val="18"/>
        </w:rPr>
        <w:t>Earned a 98.09% compliance audit score by cross-referencing every submission</w:t>
      </w:r>
      <w:r>
        <w:rPr>
          <w:color w:val="134E5C"/>
          <w:spacing w:val="-7"/>
          <w:w w:val="105"/>
          <w:sz w:val="18"/>
        </w:rPr>
        <w:t> </w:t>
      </w:r>
      <w:r>
        <w:rPr>
          <w:color w:val="134E5C"/>
          <w:w w:val="105"/>
          <w:sz w:val="18"/>
        </w:rPr>
        <w:t>against</w:t>
      </w:r>
      <w:r>
        <w:rPr>
          <w:color w:val="134E5C"/>
          <w:spacing w:val="-7"/>
          <w:w w:val="105"/>
          <w:sz w:val="18"/>
        </w:rPr>
        <w:t> </w:t>
      </w:r>
      <w:r>
        <w:rPr>
          <w:color w:val="134E5C"/>
          <w:w w:val="105"/>
          <w:sz w:val="18"/>
        </w:rPr>
        <w:t>carrier</w:t>
      </w:r>
      <w:r>
        <w:rPr>
          <w:color w:val="134E5C"/>
          <w:spacing w:val="-7"/>
          <w:w w:val="105"/>
          <w:sz w:val="18"/>
        </w:rPr>
        <w:t> </w:t>
      </w:r>
      <w:r>
        <w:rPr>
          <w:color w:val="134E5C"/>
          <w:w w:val="105"/>
          <w:sz w:val="18"/>
        </w:rPr>
        <w:t>underwriting</w:t>
      </w:r>
      <w:r>
        <w:rPr>
          <w:color w:val="134E5C"/>
          <w:spacing w:val="-7"/>
          <w:w w:val="105"/>
          <w:sz w:val="18"/>
        </w:rPr>
        <w:t> </w:t>
      </w:r>
      <w:r>
        <w:rPr>
          <w:color w:val="134E5C"/>
          <w:w w:val="105"/>
          <w:sz w:val="18"/>
        </w:rPr>
        <w:t>guidelines</w:t>
      </w:r>
      <w:r>
        <w:rPr>
          <w:color w:val="134E5C"/>
          <w:spacing w:val="-7"/>
          <w:w w:val="105"/>
          <w:sz w:val="18"/>
        </w:rPr>
        <w:t> </w:t>
      </w:r>
      <w:r>
        <w:rPr>
          <w:color w:val="134E5C"/>
          <w:w w:val="105"/>
          <w:sz w:val="18"/>
        </w:rPr>
        <w:t>and</w:t>
      </w:r>
      <w:r>
        <w:rPr>
          <w:color w:val="134E5C"/>
          <w:spacing w:val="-7"/>
          <w:w w:val="105"/>
          <w:sz w:val="18"/>
        </w:rPr>
        <w:t> </w:t>
      </w:r>
      <w:r>
        <w:rPr>
          <w:color w:val="134E5C"/>
          <w:w w:val="105"/>
          <w:sz w:val="18"/>
        </w:rPr>
        <w:t>ISO</w:t>
      </w:r>
      <w:r>
        <w:rPr>
          <w:color w:val="134E5C"/>
          <w:spacing w:val="-7"/>
          <w:w w:val="105"/>
          <w:sz w:val="18"/>
        </w:rPr>
        <w:t> </w:t>
      </w:r>
      <w:r>
        <w:rPr>
          <w:color w:val="134E5C"/>
          <w:w w:val="105"/>
          <w:sz w:val="18"/>
        </w:rPr>
        <w:t>underwriting</w:t>
      </w:r>
      <w:r>
        <w:rPr>
          <w:color w:val="134E5C"/>
          <w:spacing w:val="-7"/>
          <w:w w:val="105"/>
          <w:sz w:val="18"/>
        </w:rPr>
        <w:t> </w:t>
      </w:r>
      <w:r>
        <w:rPr>
          <w:color w:val="134E5C"/>
          <w:w w:val="105"/>
          <w:sz w:val="18"/>
        </w:rPr>
        <w:t>rules before forwarding to senior underwriters.</w:t>
      </w:r>
    </w:p>
    <w:p>
      <w:pPr>
        <w:pStyle w:val="ListParagraph"/>
        <w:numPr>
          <w:ilvl w:val="0"/>
          <w:numId w:val="1"/>
        </w:numPr>
        <w:tabs>
          <w:tab w:pos="759" w:val="left" w:leader="none"/>
        </w:tabs>
        <w:spacing w:line="278" w:lineRule="auto" w:before="100" w:after="0"/>
        <w:ind w:left="759" w:right="472" w:hanging="298"/>
        <w:jc w:val="left"/>
        <w:rPr>
          <w:sz w:val="18"/>
        </w:rPr>
      </w:pPr>
      <w:r>
        <w:rPr>
          <w:color w:val="134E5C"/>
          <w:w w:val="105"/>
          <w:sz w:val="18"/>
        </w:rPr>
        <w:t>Process</w:t>
      </w:r>
      <w:r>
        <w:rPr>
          <w:color w:val="134E5C"/>
          <w:spacing w:val="-7"/>
          <w:w w:val="105"/>
          <w:sz w:val="18"/>
        </w:rPr>
        <w:t> </w:t>
      </w:r>
      <w:r>
        <w:rPr>
          <w:color w:val="134E5C"/>
          <w:w w:val="105"/>
          <w:sz w:val="18"/>
        </w:rPr>
        <w:t>27</w:t>
      </w:r>
      <w:r>
        <w:rPr>
          <w:color w:val="134E5C"/>
          <w:spacing w:val="-7"/>
          <w:w w:val="105"/>
          <w:sz w:val="18"/>
        </w:rPr>
        <w:t> </w:t>
      </w:r>
      <w:r>
        <w:rPr>
          <w:color w:val="134E5C"/>
          <w:w w:val="105"/>
          <w:sz w:val="18"/>
        </w:rPr>
        <w:t>referrals</w:t>
      </w:r>
      <w:r>
        <w:rPr>
          <w:color w:val="134E5C"/>
          <w:spacing w:val="-7"/>
          <w:w w:val="105"/>
          <w:sz w:val="18"/>
        </w:rPr>
        <w:t> </w:t>
      </w:r>
      <w:r>
        <w:rPr>
          <w:color w:val="134E5C"/>
          <w:w w:val="105"/>
          <w:sz w:val="18"/>
        </w:rPr>
        <w:t>per</w:t>
      </w:r>
      <w:r>
        <w:rPr>
          <w:color w:val="134E5C"/>
          <w:spacing w:val="-7"/>
          <w:w w:val="105"/>
          <w:sz w:val="18"/>
        </w:rPr>
        <w:t> </w:t>
      </w:r>
      <w:r>
        <w:rPr>
          <w:color w:val="134E5C"/>
          <w:w w:val="105"/>
          <w:sz w:val="18"/>
        </w:rPr>
        <w:t>week</w:t>
      </w:r>
      <w:r>
        <w:rPr>
          <w:color w:val="134E5C"/>
          <w:spacing w:val="-7"/>
          <w:w w:val="105"/>
          <w:sz w:val="18"/>
        </w:rPr>
        <w:t> </w:t>
      </w:r>
      <w:r>
        <w:rPr>
          <w:color w:val="134E5C"/>
          <w:w w:val="105"/>
          <w:sz w:val="18"/>
        </w:rPr>
        <w:t>from</w:t>
      </w:r>
      <w:r>
        <w:rPr>
          <w:color w:val="134E5C"/>
          <w:spacing w:val="-7"/>
          <w:w w:val="105"/>
          <w:sz w:val="18"/>
        </w:rPr>
        <w:t> </w:t>
      </w:r>
      <w:r>
        <w:rPr>
          <w:color w:val="134E5C"/>
          <w:w w:val="105"/>
          <w:sz w:val="18"/>
        </w:rPr>
        <w:t>agents,</w:t>
      </w:r>
      <w:r>
        <w:rPr>
          <w:color w:val="134E5C"/>
          <w:spacing w:val="-7"/>
          <w:w w:val="105"/>
          <w:sz w:val="18"/>
        </w:rPr>
        <w:t> </w:t>
      </w:r>
      <w:r>
        <w:rPr>
          <w:color w:val="134E5C"/>
          <w:w w:val="105"/>
          <w:sz w:val="18"/>
        </w:rPr>
        <w:t>collecting</w:t>
      </w:r>
      <w:r>
        <w:rPr>
          <w:color w:val="134E5C"/>
          <w:spacing w:val="-7"/>
          <w:w w:val="105"/>
          <w:sz w:val="18"/>
        </w:rPr>
        <w:t> </w:t>
      </w:r>
      <w:r>
        <w:rPr>
          <w:color w:val="134E5C"/>
          <w:w w:val="105"/>
          <w:sz w:val="18"/>
        </w:rPr>
        <w:t>loss</w:t>
      </w:r>
      <w:r>
        <w:rPr>
          <w:color w:val="134E5C"/>
          <w:spacing w:val="-7"/>
          <w:w w:val="105"/>
          <w:sz w:val="18"/>
        </w:rPr>
        <w:t> </w:t>
      </w:r>
      <w:r>
        <w:rPr>
          <w:color w:val="134E5C"/>
          <w:w w:val="105"/>
          <w:sz w:val="18"/>
        </w:rPr>
        <w:t>runs,</w:t>
      </w:r>
      <w:r>
        <w:rPr>
          <w:color w:val="134E5C"/>
          <w:spacing w:val="-7"/>
          <w:w w:val="105"/>
          <w:sz w:val="18"/>
        </w:rPr>
        <w:t> </w:t>
      </w:r>
      <w:r>
        <w:rPr>
          <w:color w:val="134E5C"/>
          <w:w w:val="105"/>
          <w:sz w:val="18"/>
        </w:rPr>
        <w:t>applications, and inspection reports within 2 days of receipt.</w:t>
      </w:r>
    </w:p>
    <w:p>
      <w:pPr>
        <w:pStyle w:val="ListParagraph"/>
        <w:numPr>
          <w:ilvl w:val="0"/>
          <w:numId w:val="1"/>
        </w:numPr>
        <w:tabs>
          <w:tab w:pos="759" w:val="left" w:leader="none"/>
        </w:tabs>
        <w:spacing w:line="261" w:lineRule="auto" w:before="80" w:after="0"/>
        <w:ind w:left="759" w:right="518" w:hanging="298"/>
        <w:jc w:val="left"/>
        <w:rPr>
          <w:sz w:val="18"/>
        </w:rPr>
      </w:pPr>
      <w:r>
        <w:rPr>
          <w:color w:val="134E5C"/>
          <w:w w:val="105"/>
          <w:position w:val="1"/>
          <w:sz w:val="18"/>
        </w:rPr>
        <w:t>Generate</w:t>
      </w:r>
      <w:r>
        <w:rPr>
          <w:color w:val="134E5C"/>
          <w:spacing w:val="-10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14</w:t>
      </w:r>
      <w:r>
        <w:rPr>
          <w:color w:val="134E5C"/>
          <w:spacing w:val="-10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risk</w:t>
      </w:r>
      <w:r>
        <w:rPr>
          <w:color w:val="134E5C"/>
          <w:spacing w:val="-10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reports</w:t>
      </w:r>
      <w:r>
        <w:rPr>
          <w:color w:val="134E5C"/>
          <w:spacing w:val="-10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weekly</w:t>
      </w:r>
      <w:r>
        <w:rPr>
          <w:color w:val="134E5C"/>
          <w:spacing w:val="-10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in</w:t>
      </w:r>
      <w:r>
        <w:rPr>
          <w:color w:val="134E5C"/>
          <w:spacing w:val="-10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Excel</w:t>
      </w:r>
      <w:r>
        <w:rPr>
          <w:color w:val="134E5C"/>
          <w:spacing w:val="-10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summarizing</w:t>
      </w:r>
      <w:r>
        <w:rPr>
          <w:color w:val="134E5C"/>
          <w:spacing w:val="-10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exposure</w:t>
      </w:r>
      <w:r>
        <w:rPr>
          <w:color w:val="134E5C"/>
          <w:spacing w:val="-10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data,</w:t>
      </w:r>
      <w:r>
        <w:rPr>
          <w:color w:val="134E5C"/>
          <w:spacing w:val="-10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claims </w:t>
      </w:r>
      <w:r>
        <w:rPr>
          <w:color w:val="134E5C"/>
          <w:w w:val="105"/>
          <w:sz w:val="18"/>
        </w:rPr>
        <w:t>history, and ﬁnancial ratios for the underwriting team.</w:t>
      </w:r>
    </w:p>
    <w:p>
      <w:pPr>
        <w:pStyle w:val="ListParagraph"/>
        <w:spacing w:after="0" w:line="261" w:lineRule="auto"/>
        <w:jc w:val="left"/>
        <w:rPr>
          <w:sz w:val="18"/>
        </w:rPr>
        <w:sectPr>
          <w:type w:val="continuous"/>
          <w:pgSz w:w="11920" w:h="16860"/>
          <w:pgMar w:top="780" w:bottom="280" w:left="283" w:right="0"/>
          <w:cols w:num="2" w:equalWidth="0">
            <w:col w:w="2829" w:space="1188"/>
            <w:col w:w="7620"/>
          </w:cols>
        </w:sectPr>
      </w:pPr>
    </w:p>
    <w:p>
      <w:pPr>
        <w:pStyle w:val="ListParagraph"/>
        <w:numPr>
          <w:ilvl w:val="0"/>
          <w:numId w:val="1"/>
        </w:numPr>
        <w:tabs>
          <w:tab w:pos="591" w:val="left" w:leader="none"/>
        </w:tabs>
        <w:spacing w:line="240" w:lineRule="auto" w:before="88" w:after="0"/>
        <w:ind w:left="591" w:right="0" w:hanging="297"/>
        <w:jc w:val="left"/>
        <w:rPr>
          <w:sz w:val="18"/>
        </w:rPr>
      </w:pPr>
      <w:r>
        <w:rPr>
          <w:color w:val="134E5C"/>
          <w:sz w:val="18"/>
        </w:rPr>
        <w:t>ISO</w:t>
      </w:r>
      <w:r>
        <w:rPr>
          <w:color w:val="134E5C"/>
          <w:spacing w:val="18"/>
          <w:sz w:val="18"/>
        </w:rPr>
        <w:t> </w:t>
      </w:r>
      <w:r>
        <w:rPr>
          <w:color w:val="134E5C"/>
          <w:sz w:val="18"/>
        </w:rPr>
        <w:t>Underwriting</w:t>
      </w:r>
      <w:r>
        <w:rPr>
          <w:color w:val="134E5C"/>
          <w:spacing w:val="19"/>
          <w:sz w:val="18"/>
        </w:rPr>
        <w:t> </w:t>
      </w:r>
      <w:r>
        <w:rPr>
          <w:color w:val="134E5C"/>
          <w:spacing w:val="-4"/>
          <w:sz w:val="18"/>
        </w:rPr>
        <w:t>Rules</w:t>
      </w:r>
    </w:p>
    <w:p>
      <w:pPr>
        <w:pStyle w:val="ListParagraph"/>
        <w:numPr>
          <w:ilvl w:val="0"/>
          <w:numId w:val="1"/>
        </w:numPr>
        <w:tabs>
          <w:tab w:pos="591" w:val="left" w:leader="none"/>
        </w:tabs>
        <w:spacing w:line="240" w:lineRule="auto" w:before="123" w:after="0"/>
        <w:ind w:left="591" w:right="0" w:hanging="297"/>
        <w:jc w:val="left"/>
        <w:rPr>
          <w:sz w:val="18"/>
        </w:rPr>
      </w:pPr>
      <w:r>
        <w:rPr>
          <w:color w:val="134E5C"/>
          <w:spacing w:val="-2"/>
          <w:w w:val="105"/>
          <w:sz w:val="18"/>
        </w:rPr>
        <w:t>Carrier</w:t>
      </w:r>
      <w:r>
        <w:rPr>
          <w:color w:val="134E5C"/>
          <w:spacing w:val="3"/>
          <w:w w:val="105"/>
          <w:sz w:val="18"/>
        </w:rPr>
        <w:t> </w:t>
      </w:r>
      <w:r>
        <w:rPr>
          <w:color w:val="134E5C"/>
          <w:spacing w:val="-2"/>
          <w:w w:val="105"/>
          <w:sz w:val="18"/>
        </w:rPr>
        <w:t>Underwriting</w:t>
      </w:r>
      <w:r>
        <w:rPr>
          <w:color w:val="134E5C"/>
          <w:spacing w:val="3"/>
          <w:w w:val="105"/>
          <w:sz w:val="18"/>
        </w:rPr>
        <w:t> </w:t>
      </w:r>
      <w:r>
        <w:rPr>
          <w:color w:val="134E5C"/>
          <w:spacing w:val="-2"/>
          <w:w w:val="105"/>
          <w:sz w:val="18"/>
        </w:rPr>
        <w:t>Guidelines</w:t>
      </w:r>
    </w:p>
    <w:p>
      <w:pPr>
        <w:pStyle w:val="ListParagraph"/>
        <w:numPr>
          <w:ilvl w:val="0"/>
          <w:numId w:val="1"/>
        </w:numPr>
        <w:tabs>
          <w:tab w:pos="591" w:val="left" w:leader="none"/>
        </w:tabs>
        <w:spacing w:line="240" w:lineRule="auto" w:before="113" w:after="0"/>
        <w:ind w:left="591" w:right="0" w:hanging="297"/>
        <w:jc w:val="left"/>
        <w:rPr>
          <w:position w:val="1"/>
          <w:sz w:val="18"/>
        </w:rPr>
      </w:pPr>
      <w:r>
        <w:rPr>
          <w:color w:val="134E5C"/>
          <w:spacing w:val="-2"/>
          <w:w w:val="105"/>
          <w:position w:val="1"/>
          <w:sz w:val="18"/>
        </w:rPr>
        <w:t>Microsoft</w:t>
      </w:r>
      <w:r>
        <w:rPr>
          <w:color w:val="134E5C"/>
          <w:w w:val="105"/>
          <w:position w:val="1"/>
          <w:sz w:val="18"/>
        </w:rPr>
        <w:t> </w:t>
      </w:r>
      <w:r>
        <w:rPr>
          <w:color w:val="134E5C"/>
          <w:spacing w:val="-2"/>
          <w:w w:val="105"/>
          <w:position w:val="1"/>
          <w:sz w:val="18"/>
        </w:rPr>
        <w:t>Excel</w:t>
      </w:r>
    </w:p>
    <w:p>
      <w:pPr>
        <w:pStyle w:val="ListParagraph"/>
        <w:numPr>
          <w:ilvl w:val="0"/>
          <w:numId w:val="1"/>
        </w:numPr>
        <w:tabs>
          <w:tab w:pos="591" w:val="left" w:leader="none"/>
        </w:tabs>
        <w:spacing w:line="240" w:lineRule="auto" w:before="108" w:after="0"/>
        <w:ind w:left="591" w:right="0" w:hanging="297"/>
        <w:jc w:val="left"/>
        <w:rPr>
          <w:sz w:val="18"/>
        </w:rPr>
      </w:pPr>
      <w:r>
        <w:rPr>
          <w:color w:val="134E5C"/>
          <w:spacing w:val="-2"/>
          <w:w w:val="105"/>
          <w:sz w:val="18"/>
        </w:rPr>
        <w:t>Insly</w:t>
      </w:r>
    </w:p>
    <w:p>
      <w:pPr>
        <w:pStyle w:val="ListParagraph"/>
        <w:numPr>
          <w:ilvl w:val="0"/>
          <w:numId w:val="1"/>
        </w:numPr>
        <w:tabs>
          <w:tab w:pos="591" w:val="left" w:leader="none"/>
        </w:tabs>
        <w:spacing w:line="268" w:lineRule="auto" w:before="103" w:after="0"/>
        <w:ind w:left="591" w:right="545" w:hanging="298"/>
        <w:jc w:val="left"/>
        <w:rPr>
          <w:sz w:val="18"/>
        </w:rPr>
      </w:pPr>
      <w:r>
        <w:rPr/>
        <w:br w:type="column"/>
      </w:r>
      <w:r>
        <w:rPr>
          <w:color w:val="134E5C"/>
          <w:w w:val="105"/>
          <w:sz w:val="18"/>
        </w:rPr>
        <w:t>Decline excessive risks by ﬂagging applicants whose loss frequency or ﬁnancial</w:t>
      </w:r>
      <w:r>
        <w:rPr>
          <w:color w:val="134E5C"/>
          <w:spacing w:val="-2"/>
          <w:w w:val="105"/>
          <w:sz w:val="18"/>
        </w:rPr>
        <w:t> </w:t>
      </w:r>
      <w:r>
        <w:rPr>
          <w:color w:val="134E5C"/>
          <w:w w:val="105"/>
          <w:sz w:val="18"/>
        </w:rPr>
        <w:t>standing</w:t>
      </w:r>
      <w:r>
        <w:rPr>
          <w:color w:val="134E5C"/>
          <w:spacing w:val="-2"/>
          <w:w w:val="105"/>
          <w:sz w:val="18"/>
        </w:rPr>
        <w:t> </w:t>
      </w:r>
      <w:r>
        <w:rPr>
          <w:color w:val="134E5C"/>
          <w:w w:val="105"/>
          <w:sz w:val="18"/>
        </w:rPr>
        <w:t>falls</w:t>
      </w:r>
      <w:r>
        <w:rPr>
          <w:color w:val="134E5C"/>
          <w:spacing w:val="-2"/>
          <w:w w:val="105"/>
          <w:sz w:val="18"/>
        </w:rPr>
        <w:t> </w:t>
      </w:r>
      <w:r>
        <w:rPr>
          <w:color w:val="134E5C"/>
          <w:w w:val="105"/>
          <w:sz w:val="18"/>
        </w:rPr>
        <w:t>outside</w:t>
      </w:r>
      <w:r>
        <w:rPr>
          <w:color w:val="134E5C"/>
          <w:spacing w:val="-2"/>
          <w:w w:val="105"/>
          <w:sz w:val="18"/>
        </w:rPr>
        <w:t> </w:t>
      </w:r>
      <w:r>
        <w:rPr>
          <w:color w:val="134E5C"/>
          <w:w w:val="105"/>
          <w:sz w:val="18"/>
        </w:rPr>
        <w:t>carrier</w:t>
      </w:r>
      <w:r>
        <w:rPr>
          <w:color w:val="134E5C"/>
          <w:spacing w:val="-2"/>
          <w:w w:val="105"/>
          <w:sz w:val="18"/>
        </w:rPr>
        <w:t> </w:t>
      </w:r>
      <w:r>
        <w:rPr>
          <w:color w:val="134E5C"/>
          <w:w w:val="105"/>
          <w:sz w:val="18"/>
        </w:rPr>
        <w:t>appetite,</w:t>
      </w:r>
      <w:r>
        <w:rPr>
          <w:color w:val="134E5C"/>
          <w:spacing w:val="-2"/>
          <w:w w:val="105"/>
          <w:sz w:val="18"/>
        </w:rPr>
        <w:t> </w:t>
      </w:r>
      <w:r>
        <w:rPr>
          <w:color w:val="134E5C"/>
          <w:w w:val="105"/>
          <w:sz w:val="18"/>
        </w:rPr>
        <w:t>averaging</w:t>
      </w:r>
      <w:r>
        <w:rPr>
          <w:color w:val="134E5C"/>
          <w:spacing w:val="-2"/>
          <w:w w:val="105"/>
          <w:sz w:val="18"/>
        </w:rPr>
        <w:t> </w:t>
      </w:r>
      <w:r>
        <w:rPr>
          <w:color w:val="134E5C"/>
          <w:w w:val="105"/>
          <w:sz w:val="18"/>
        </w:rPr>
        <w:t>6</w:t>
      </w:r>
      <w:r>
        <w:rPr>
          <w:color w:val="134E5C"/>
          <w:spacing w:val="-2"/>
          <w:w w:val="105"/>
          <w:sz w:val="18"/>
        </w:rPr>
        <w:t> </w:t>
      </w:r>
      <w:r>
        <w:rPr>
          <w:color w:val="134E5C"/>
          <w:w w:val="105"/>
          <w:sz w:val="18"/>
        </w:rPr>
        <w:t>declinations</w:t>
      </w:r>
      <w:r>
        <w:rPr>
          <w:color w:val="134E5C"/>
          <w:spacing w:val="-2"/>
          <w:w w:val="105"/>
          <w:sz w:val="18"/>
        </w:rPr>
        <w:t> </w:t>
      </w:r>
      <w:r>
        <w:rPr>
          <w:color w:val="134E5C"/>
          <w:w w:val="105"/>
          <w:sz w:val="18"/>
        </w:rPr>
        <w:t>per </w:t>
      </w:r>
      <w:r>
        <w:rPr>
          <w:color w:val="134E5C"/>
          <w:spacing w:val="-2"/>
          <w:w w:val="105"/>
          <w:sz w:val="18"/>
        </w:rPr>
        <w:t>month.</w:t>
      </w:r>
    </w:p>
    <w:p>
      <w:pPr>
        <w:pStyle w:val="ListParagraph"/>
        <w:numPr>
          <w:ilvl w:val="0"/>
          <w:numId w:val="1"/>
        </w:numPr>
        <w:tabs>
          <w:tab w:pos="591" w:val="left" w:leader="none"/>
        </w:tabs>
        <w:spacing w:line="240" w:lineRule="auto" w:before="100" w:after="0"/>
        <w:ind w:left="591" w:right="0" w:hanging="297"/>
        <w:jc w:val="left"/>
        <w:rPr>
          <w:sz w:val="18"/>
        </w:rPr>
      </w:pPr>
      <w:r>
        <w:rPr>
          <w:color w:val="134E5C"/>
          <w:spacing w:val="-2"/>
          <w:w w:val="105"/>
          <w:sz w:val="18"/>
        </w:rPr>
        <w:t>Authorize reinsurance referrals on policies where total insured</w:t>
      </w:r>
      <w:r>
        <w:rPr>
          <w:color w:val="134E5C"/>
          <w:spacing w:val="-1"/>
          <w:w w:val="105"/>
          <w:sz w:val="18"/>
        </w:rPr>
        <w:t> </w:t>
      </w:r>
      <w:r>
        <w:rPr>
          <w:color w:val="134E5C"/>
          <w:spacing w:val="-2"/>
          <w:w w:val="105"/>
          <w:sz w:val="18"/>
        </w:rPr>
        <w:t>values exceed</w:t>
      </w:r>
    </w:p>
    <w:p>
      <w:pPr>
        <w:pStyle w:val="BodyText"/>
        <w:spacing w:before="18"/>
      </w:pPr>
      <w:r>
        <w:rPr>
          <w:color w:val="134E5C"/>
          <w:w w:val="105"/>
        </w:rPr>
        <w:t>$455,700,</w:t>
      </w:r>
      <w:r>
        <w:rPr>
          <w:color w:val="134E5C"/>
          <w:spacing w:val="-12"/>
          <w:w w:val="105"/>
        </w:rPr>
        <w:t> </w:t>
      </w:r>
      <w:r>
        <w:rPr>
          <w:color w:val="134E5C"/>
          <w:w w:val="105"/>
        </w:rPr>
        <w:t>preparing</w:t>
      </w:r>
      <w:r>
        <w:rPr>
          <w:color w:val="134E5C"/>
          <w:spacing w:val="-12"/>
          <w:w w:val="105"/>
        </w:rPr>
        <w:t> </w:t>
      </w:r>
      <w:r>
        <w:rPr>
          <w:color w:val="134E5C"/>
          <w:w w:val="105"/>
        </w:rPr>
        <w:t>treaty</w:t>
      </w:r>
      <w:r>
        <w:rPr>
          <w:color w:val="134E5C"/>
          <w:spacing w:val="-11"/>
          <w:w w:val="105"/>
        </w:rPr>
        <w:t> </w:t>
      </w:r>
      <w:r>
        <w:rPr>
          <w:color w:val="134E5C"/>
          <w:w w:val="105"/>
        </w:rPr>
        <w:t>placement</w:t>
      </w:r>
      <w:r>
        <w:rPr>
          <w:color w:val="134E5C"/>
          <w:spacing w:val="-12"/>
          <w:w w:val="105"/>
        </w:rPr>
        <w:t> </w:t>
      </w:r>
      <w:r>
        <w:rPr>
          <w:color w:val="134E5C"/>
          <w:w w:val="105"/>
        </w:rPr>
        <w:t>summaries</w:t>
      </w:r>
      <w:r>
        <w:rPr>
          <w:color w:val="134E5C"/>
          <w:spacing w:val="-11"/>
          <w:w w:val="105"/>
        </w:rPr>
        <w:t> </w:t>
      </w:r>
      <w:r>
        <w:rPr>
          <w:color w:val="134E5C"/>
          <w:w w:val="105"/>
        </w:rPr>
        <w:t>for</w:t>
      </w:r>
      <w:r>
        <w:rPr>
          <w:color w:val="134E5C"/>
          <w:spacing w:val="-12"/>
          <w:w w:val="105"/>
        </w:rPr>
        <w:t> </w:t>
      </w:r>
      <w:r>
        <w:rPr>
          <w:color w:val="134E5C"/>
          <w:w w:val="105"/>
        </w:rPr>
        <w:t>the</w:t>
      </w:r>
      <w:r>
        <w:rPr>
          <w:color w:val="134E5C"/>
          <w:spacing w:val="-11"/>
          <w:w w:val="105"/>
        </w:rPr>
        <w:t> </w:t>
      </w:r>
      <w:r>
        <w:rPr>
          <w:color w:val="134E5C"/>
          <w:w w:val="105"/>
        </w:rPr>
        <w:t>lead</w:t>
      </w:r>
      <w:r>
        <w:rPr>
          <w:color w:val="134E5C"/>
          <w:spacing w:val="-12"/>
          <w:w w:val="105"/>
        </w:rPr>
        <w:t> </w:t>
      </w:r>
      <w:r>
        <w:rPr>
          <w:color w:val="134E5C"/>
          <w:spacing w:val="-2"/>
          <w:w w:val="105"/>
        </w:rPr>
        <w:t>underwriter.</w:t>
      </w:r>
    </w:p>
    <w:p>
      <w:pPr>
        <w:pStyle w:val="BodyText"/>
        <w:spacing w:after="0"/>
        <w:sectPr>
          <w:type w:val="continuous"/>
          <w:pgSz w:w="11920" w:h="16860"/>
          <w:pgMar w:top="780" w:bottom="280" w:left="283" w:right="0"/>
          <w:cols w:num="2" w:equalWidth="0">
            <w:col w:w="3255" w:space="930"/>
            <w:col w:w="7452"/>
          </w:cols>
        </w:sectPr>
      </w:pPr>
    </w:p>
    <w:p>
      <w:pPr>
        <w:pStyle w:val="ListParagraph"/>
        <w:numPr>
          <w:ilvl w:val="0"/>
          <w:numId w:val="1"/>
        </w:numPr>
        <w:tabs>
          <w:tab w:pos="591" w:val="left" w:leader="none"/>
        </w:tabs>
        <w:spacing w:line="240" w:lineRule="auto" w:before="63" w:after="0"/>
        <w:ind w:left="591" w:right="0" w:hanging="297"/>
        <w:jc w:val="left"/>
        <w:rPr>
          <w:sz w:val="18"/>
        </w:rPr>
      </w:pPr>
      <w:r>
        <w:rPr>
          <w:color w:val="134E5C"/>
          <w:sz w:val="18"/>
        </w:rPr>
        <w:t>Risk</w:t>
      </w:r>
      <w:r>
        <w:rPr>
          <w:color w:val="134E5C"/>
          <w:spacing w:val="-2"/>
          <w:sz w:val="18"/>
        </w:rPr>
        <w:t> Assessment</w:t>
      </w:r>
    </w:p>
    <w:p>
      <w:pPr>
        <w:pStyle w:val="ListParagraph"/>
        <w:numPr>
          <w:ilvl w:val="0"/>
          <w:numId w:val="1"/>
        </w:numPr>
        <w:tabs>
          <w:tab w:pos="591" w:val="left" w:leader="none"/>
        </w:tabs>
        <w:spacing w:line="240" w:lineRule="auto" w:before="123" w:after="0"/>
        <w:ind w:left="591" w:right="0" w:hanging="297"/>
        <w:jc w:val="left"/>
        <w:rPr>
          <w:sz w:val="18"/>
        </w:rPr>
      </w:pPr>
      <w:r>
        <w:rPr>
          <w:color w:val="134E5C"/>
          <w:sz w:val="18"/>
        </w:rPr>
        <w:t>Loss</w:t>
      </w:r>
      <w:r>
        <w:rPr>
          <w:color w:val="134E5C"/>
          <w:spacing w:val="3"/>
          <w:sz w:val="18"/>
        </w:rPr>
        <w:t> </w:t>
      </w:r>
      <w:r>
        <w:rPr>
          <w:color w:val="134E5C"/>
          <w:sz w:val="18"/>
        </w:rPr>
        <w:t>Run</w:t>
      </w:r>
      <w:r>
        <w:rPr>
          <w:color w:val="134E5C"/>
          <w:spacing w:val="4"/>
          <w:sz w:val="18"/>
        </w:rPr>
        <w:t> </w:t>
      </w:r>
      <w:r>
        <w:rPr>
          <w:color w:val="134E5C"/>
          <w:spacing w:val="-2"/>
          <w:sz w:val="18"/>
        </w:rPr>
        <w:t>Analysis</w:t>
      </w:r>
    </w:p>
    <w:p>
      <w:pPr>
        <w:pStyle w:val="ListParagraph"/>
        <w:numPr>
          <w:ilvl w:val="0"/>
          <w:numId w:val="1"/>
        </w:numPr>
        <w:tabs>
          <w:tab w:pos="591" w:val="left" w:leader="none"/>
        </w:tabs>
        <w:spacing w:line="240" w:lineRule="auto" w:before="123" w:after="0"/>
        <w:ind w:left="591" w:right="0" w:hanging="297"/>
        <w:jc w:val="left"/>
        <w:rPr>
          <w:sz w:val="18"/>
        </w:rPr>
      </w:pPr>
      <w:r>
        <w:rPr>
          <w:color w:val="134E5C"/>
          <w:spacing w:val="-2"/>
          <w:w w:val="105"/>
          <w:sz w:val="18"/>
        </w:rPr>
        <w:t>Policy</w:t>
      </w:r>
      <w:r>
        <w:rPr>
          <w:color w:val="134E5C"/>
          <w:spacing w:val="-7"/>
          <w:w w:val="105"/>
          <w:sz w:val="18"/>
        </w:rPr>
        <w:t> </w:t>
      </w:r>
      <w:r>
        <w:rPr>
          <w:color w:val="134E5C"/>
          <w:spacing w:val="-2"/>
          <w:w w:val="105"/>
          <w:sz w:val="18"/>
        </w:rPr>
        <w:t>Documentation</w:t>
      </w:r>
    </w:p>
    <w:p>
      <w:pPr>
        <w:spacing w:line="266" w:lineRule="auto" w:before="164"/>
        <w:ind w:left="294" w:right="550" w:firstLine="0"/>
        <w:jc w:val="left"/>
        <w:rPr>
          <w:sz w:val="20"/>
        </w:rPr>
      </w:pPr>
      <w:r>
        <w:rPr/>
        <w:br w:type="column"/>
      </w:r>
      <w:r>
        <w:rPr>
          <w:sz w:val="20"/>
        </w:rPr>
        <w:t>Insurance</w:t>
      </w:r>
      <w:r>
        <w:rPr>
          <w:spacing w:val="-4"/>
          <w:sz w:val="20"/>
        </w:rPr>
        <w:t> </w:t>
      </w:r>
      <w:r>
        <w:rPr>
          <w:sz w:val="20"/>
        </w:rPr>
        <w:t>Administrative</w:t>
      </w:r>
      <w:r>
        <w:rPr>
          <w:spacing w:val="-4"/>
          <w:sz w:val="20"/>
        </w:rPr>
        <w:t> </w:t>
      </w:r>
      <w:r>
        <w:rPr>
          <w:sz w:val="20"/>
        </w:rPr>
        <w:t>Assistant </w:t>
      </w:r>
      <w:r>
        <w:rPr>
          <w:color w:val="134E5C"/>
          <w:sz w:val="20"/>
        </w:rPr>
        <w:t>| Prairie Lake Casualty Partners, Alexandria, MN</w:t>
      </w:r>
    </w:p>
    <w:p>
      <w:pPr>
        <w:pStyle w:val="BodyText"/>
        <w:spacing w:before="3"/>
        <w:ind w:left="294"/>
      </w:pPr>
      <w:r>
        <w:rPr>
          <w:color w:val="134E5C"/>
          <w:w w:val="105"/>
        </w:rPr>
        <w:t>2024</w:t>
      </w:r>
      <w:r>
        <w:rPr>
          <w:color w:val="134E5C"/>
          <w:spacing w:val="-8"/>
          <w:w w:val="105"/>
        </w:rPr>
        <w:t> </w:t>
      </w:r>
      <w:r>
        <w:rPr>
          <w:color w:val="134E5C"/>
          <w:w w:val="105"/>
        </w:rPr>
        <w:t>-</w:t>
      </w:r>
      <w:r>
        <w:rPr>
          <w:color w:val="134E5C"/>
          <w:spacing w:val="-8"/>
          <w:w w:val="105"/>
        </w:rPr>
        <w:t> </w:t>
      </w:r>
      <w:r>
        <w:rPr>
          <w:color w:val="134E5C"/>
          <w:spacing w:val="-4"/>
          <w:w w:val="105"/>
        </w:rPr>
        <w:t>2025</w:t>
      </w:r>
    </w:p>
    <w:p>
      <w:pPr>
        <w:pStyle w:val="BodyText"/>
        <w:spacing w:after="0"/>
        <w:sectPr>
          <w:type w:val="continuous"/>
          <w:pgSz w:w="11920" w:h="16860"/>
          <w:pgMar w:top="780" w:bottom="280" w:left="283" w:right="0"/>
          <w:cols w:num="2" w:equalWidth="0">
            <w:col w:w="2440" w:space="1392"/>
            <w:col w:w="7805"/>
          </w:cols>
        </w:sectPr>
      </w:pPr>
    </w:p>
    <w:p>
      <w:pPr>
        <w:pStyle w:val="ListParagraph"/>
        <w:numPr>
          <w:ilvl w:val="0"/>
          <w:numId w:val="1"/>
        </w:numPr>
        <w:tabs>
          <w:tab w:pos="591" w:val="left" w:leader="none"/>
        </w:tabs>
        <w:spacing w:line="240" w:lineRule="auto" w:before="108" w:after="0"/>
        <w:ind w:left="591" w:right="0" w:hanging="297"/>
        <w:jc w:val="left"/>
        <w:rPr>
          <w:sz w:val="18"/>
        </w:rPr>
      </w:pPr>
      <w:r>
        <w:rPr>
          <w:color w:val="134E5C"/>
          <w:sz w:val="18"/>
        </w:rPr>
        <w:t>State</w:t>
      </w:r>
      <w:r>
        <w:rPr>
          <w:color w:val="134E5C"/>
          <w:spacing w:val="12"/>
          <w:sz w:val="18"/>
        </w:rPr>
        <w:t> </w:t>
      </w:r>
      <w:r>
        <w:rPr>
          <w:color w:val="134E5C"/>
          <w:sz w:val="18"/>
        </w:rPr>
        <w:t>Insurance</w:t>
      </w:r>
      <w:r>
        <w:rPr>
          <w:color w:val="134E5C"/>
          <w:spacing w:val="13"/>
          <w:sz w:val="18"/>
        </w:rPr>
        <w:t> </w:t>
      </w:r>
      <w:r>
        <w:rPr>
          <w:color w:val="134E5C"/>
          <w:spacing w:val="-2"/>
          <w:sz w:val="18"/>
        </w:rPr>
        <w:t>Regulations</w:t>
      </w:r>
    </w:p>
    <w:p>
      <w:pPr>
        <w:pStyle w:val="ListParagraph"/>
        <w:numPr>
          <w:ilvl w:val="0"/>
          <w:numId w:val="1"/>
        </w:numPr>
        <w:tabs>
          <w:tab w:pos="591" w:val="left" w:leader="none"/>
        </w:tabs>
        <w:spacing w:line="240" w:lineRule="auto" w:before="123" w:after="0"/>
        <w:ind w:left="591" w:right="0" w:hanging="297"/>
        <w:jc w:val="left"/>
        <w:rPr>
          <w:sz w:val="18"/>
        </w:rPr>
      </w:pPr>
      <w:r>
        <w:rPr>
          <w:color w:val="134E5C"/>
          <w:sz w:val="18"/>
        </w:rPr>
        <w:t>Financial</w:t>
      </w:r>
      <w:r>
        <w:rPr>
          <w:color w:val="134E5C"/>
          <w:spacing w:val="10"/>
          <w:sz w:val="18"/>
        </w:rPr>
        <w:t> </w:t>
      </w:r>
      <w:r>
        <w:rPr>
          <w:color w:val="134E5C"/>
          <w:sz w:val="18"/>
        </w:rPr>
        <w:t>Statement</w:t>
      </w:r>
      <w:r>
        <w:rPr>
          <w:color w:val="134E5C"/>
          <w:spacing w:val="11"/>
          <w:sz w:val="18"/>
        </w:rPr>
        <w:t> </w:t>
      </w:r>
      <w:r>
        <w:rPr>
          <w:color w:val="134E5C"/>
          <w:spacing w:val="-2"/>
          <w:sz w:val="18"/>
        </w:rPr>
        <w:t>Review</w:t>
      </w:r>
    </w:p>
    <w:p>
      <w:pPr>
        <w:pStyle w:val="ListParagraph"/>
        <w:numPr>
          <w:ilvl w:val="0"/>
          <w:numId w:val="1"/>
        </w:numPr>
        <w:tabs>
          <w:tab w:pos="591" w:val="left" w:leader="none"/>
        </w:tabs>
        <w:spacing w:line="261" w:lineRule="auto" w:before="123" w:after="0"/>
        <w:ind w:left="591" w:right="627" w:hanging="298"/>
        <w:jc w:val="left"/>
        <w:rPr>
          <w:sz w:val="18"/>
        </w:rPr>
      </w:pPr>
      <w:r>
        <w:rPr>
          <w:color w:val="134E5C"/>
          <w:sz w:val="18"/>
        </w:rPr>
        <w:t>Reinsurance Referral </w:t>
      </w:r>
      <w:r>
        <w:rPr>
          <w:color w:val="134E5C"/>
          <w:spacing w:val="-2"/>
          <w:w w:val="105"/>
          <w:sz w:val="18"/>
        </w:rPr>
        <w:t>Processing</w:t>
      </w:r>
    </w:p>
    <w:p>
      <w:pPr>
        <w:pStyle w:val="ListParagraph"/>
        <w:numPr>
          <w:ilvl w:val="0"/>
          <w:numId w:val="1"/>
        </w:numPr>
        <w:tabs>
          <w:tab w:pos="591" w:val="left" w:leader="none"/>
        </w:tabs>
        <w:spacing w:line="278" w:lineRule="auto" w:before="93" w:after="0"/>
        <w:ind w:left="591" w:right="452" w:hanging="298"/>
        <w:jc w:val="left"/>
        <w:rPr>
          <w:sz w:val="18"/>
        </w:rPr>
      </w:pPr>
      <w:r>
        <w:rPr/>
        <w:br w:type="column"/>
      </w:r>
      <w:r>
        <w:rPr>
          <w:color w:val="134E5C"/>
          <w:w w:val="105"/>
          <w:sz w:val="18"/>
        </w:rPr>
        <w:t>Organized</w:t>
      </w:r>
      <w:r>
        <w:rPr>
          <w:color w:val="134E5C"/>
          <w:spacing w:val="-3"/>
          <w:w w:val="105"/>
          <w:sz w:val="18"/>
        </w:rPr>
        <w:t> </w:t>
      </w:r>
      <w:r>
        <w:rPr>
          <w:color w:val="134E5C"/>
          <w:w w:val="105"/>
          <w:sz w:val="18"/>
        </w:rPr>
        <w:t>and</w:t>
      </w:r>
      <w:r>
        <w:rPr>
          <w:color w:val="134E5C"/>
          <w:spacing w:val="-3"/>
          <w:w w:val="105"/>
          <w:sz w:val="18"/>
        </w:rPr>
        <w:t> </w:t>
      </w:r>
      <w:r>
        <w:rPr>
          <w:color w:val="134E5C"/>
          <w:w w:val="105"/>
          <w:sz w:val="18"/>
        </w:rPr>
        <w:t>indexed</w:t>
      </w:r>
      <w:r>
        <w:rPr>
          <w:color w:val="134E5C"/>
          <w:spacing w:val="-3"/>
          <w:w w:val="105"/>
          <w:sz w:val="18"/>
        </w:rPr>
        <w:t> </w:t>
      </w:r>
      <w:r>
        <w:rPr>
          <w:color w:val="134E5C"/>
          <w:w w:val="105"/>
          <w:sz w:val="18"/>
        </w:rPr>
        <w:t>83</w:t>
      </w:r>
      <w:r>
        <w:rPr>
          <w:color w:val="134E5C"/>
          <w:spacing w:val="-3"/>
          <w:w w:val="105"/>
          <w:sz w:val="18"/>
        </w:rPr>
        <w:t> </w:t>
      </w:r>
      <w:r>
        <w:rPr>
          <w:color w:val="134E5C"/>
          <w:w w:val="105"/>
          <w:sz w:val="18"/>
        </w:rPr>
        <w:t>policy</w:t>
      </w:r>
      <w:r>
        <w:rPr>
          <w:color w:val="134E5C"/>
          <w:spacing w:val="-3"/>
          <w:w w:val="105"/>
          <w:sz w:val="18"/>
        </w:rPr>
        <w:t> </w:t>
      </w:r>
      <w:r>
        <w:rPr>
          <w:color w:val="134E5C"/>
          <w:w w:val="105"/>
          <w:sz w:val="18"/>
        </w:rPr>
        <w:t>ﬁles</w:t>
      </w:r>
      <w:r>
        <w:rPr>
          <w:color w:val="134E5C"/>
          <w:spacing w:val="-3"/>
          <w:w w:val="105"/>
          <w:sz w:val="18"/>
        </w:rPr>
        <w:t> </w:t>
      </w:r>
      <w:r>
        <w:rPr>
          <w:color w:val="134E5C"/>
          <w:w w:val="105"/>
          <w:sz w:val="18"/>
        </w:rPr>
        <w:t>per</w:t>
      </w:r>
      <w:r>
        <w:rPr>
          <w:color w:val="134E5C"/>
          <w:spacing w:val="-3"/>
          <w:w w:val="105"/>
          <w:sz w:val="18"/>
        </w:rPr>
        <w:t> </w:t>
      </w:r>
      <w:r>
        <w:rPr>
          <w:color w:val="134E5C"/>
          <w:w w:val="105"/>
          <w:sz w:val="18"/>
        </w:rPr>
        <w:t>month</w:t>
      </w:r>
      <w:r>
        <w:rPr>
          <w:color w:val="134E5C"/>
          <w:spacing w:val="-3"/>
          <w:w w:val="105"/>
          <w:sz w:val="18"/>
        </w:rPr>
        <w:t> </w:t>
      </w:r>
      <w:r>
        <w:rPr>
          <w:color w:val="134E5C"/>
          <w:w w:val="105"/>
          <w:sz w:val="18"/>
        </w:rPr>
        <w:t>in</w:t>
      </w:r>
      <w:r>
        <w:rPr>
          <w:color w:val="134E5C"/>
          <w:spacing w:val="-3"/>
          <w:w w:val="105"/>
          <w:sz w:val="18"/>
        </w:rPr>
        <w:t> </w:t>
      </w:r>
      <w:r>
        <w:rPr>
          <w:color w:val="134E5C"/>
          <w:w w:val="105"/>
          <w:sz w:val="18"/>
        </w:rPr>
        <w:t>Insly,</w:t>
      </w:r>
      <w:r>
        <w:rPr>
          <w:color w:val="134E5C"/>
          <w:spacing w:val="-3"/>
          <w:w w:val="105"/>
          <w:sz w:val="18"/>
        </w:rPr>
        <w:t> </w:t>
      </w:r>
      <w:r>
        <w:rPr>
          <w:color w:val="134E5C"/>
          <w:w w:val="105"/>
          <w:sz w:val="18"/>
        </w:rPr>
        <w:t>reducing</w:t>
      </w:r>
      <w:r>
        <w:rPr>
          <w:color w:val="134E5C"/>
          <w:spacing w:val="-3"/>
          <w:w w:val="105"/>
          <w:sz w:val="18"/>
        </w:rPr>
        <w:t> </w:t>
      </w:r>
      <w:r>
        <w:rPr>
          <w:color w:val="134E5C"/>
          <w:w w:val="105"/>
          <w:sz w:val="18"/>
        </w:rPr>
        <w:t>document retrieval time from 11 minutes to 3 minutes per request.</w:t>
      </w:r>
    </w:p>
    <w:p>
      <w:pPr>
        <w:pStyle w:val="ListParagraph"/>
        <w:numPr>
          <w:ilvl w:val="0"/>
          <w:numId w:val="1"/>
        </w:numPr>
        <w:tabs>
          <w:tab w:pos="591" w:val="left" w:leader="none"/>
        </w:tabs>
        <w:spacing w:line="261" w:lineRule="auto" w:before="80" w:after="0"/>
        <w:ind w:left="591" w:right="945" w:hanging="298"/>
        <w:jc w:val="left"/>
        <w:rPr>
          <w:sz w:val="18"/>
        </w:rPr>
      </w:pPr>
      <w:r>
        <w:rPr>
          <w:color w:val="134E5C"/>
          <w:w w:val="105"/>
          <w:position w:val="1"/>
          <w:sz w:val="18"/>
        </w:rPr>
        <w:t>Compiled risk data from public records, inspection ﬁrms, and applicant </w:t>
      </w:r>
      <w:r>
        <w:rPr>
          <w:color w:val="134E5C"/>
          <w:w w:val="105"/>
          <w:sz w:val="18"/>
        </w:rPr>
        <w:t>questionnaires to support 19 referrals per week.</w:t>
      </w:r>
    </w:p>
    <w:p>
      <w:pPr>
        <w:pStyle w:val="ListParagraph"/>
        <w:numPr>
          <w:ilvl w:val="0"/>
          <w:numId w:val="1"/>
        </w:numPr>
        <w:tabs>
          <w:tab w:pos="591" w:val="left" w:leader="none"/>
        </w:tabs>
        <w:spacing w:line="268" w:lineRule="auto" w:before="104" w:after="0"/>
        <w:ind w:left="591" w:right="876" w:hanging="298"/>
        <w:jc w:val="left"/>
        <w:rPr>
          <w:sz w:val="18"/>
        </w:rPr>
      </w:pPr>
      <w:r>
        <w:rPr>
          <w:color w:val="134E5C"/>
          <w:w w:val="105"/>
          <w:sz w:val="18"/>
        </w:rPr>
        <w:t>Generated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w w:val="105"/>
          <w:sz w:val="18"/>
        </w:rPr>
        <w:t>8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w w:val="105"/>
          <w:sz w:val="18"/>
        </w:rPr>
        <w:t>risk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w w:val="105"/>
          <w:sz w:val="18"/>
        </w:rPr>
        <w:t>reports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w w:val="105"/>
          <w:sz w:val="18"/>
        </w:rPr>
        <w:t>weekly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w w:val="105"/>
          <w:sz w:val="18"/>
        </w:rPr>
        <w:t>for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w w:val="105"/>
          <w:sz w:val="18"/>
        </w:rPr>
        <w:t>senior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w w:val="105"/>
          <w:sz w:val="18"/>
        </w:rPr>
        <w:t>underwriters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w w:val="105"/>
          <w:sz w:val="18"/>
        </w:rPr>
        <w:t>by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w w:val="105"/>
          <w:sz w:val="18"/>
        </w:rPr>
        <w:t>consolidating property inspection summaries, loss histories, and ﬁnancial data into standardized Excel templates.</w:t>
      </w:r>
    </w:p>
    <w:p>
      <w:pPr>
        <w:pStyle w:val="ListParagraph"/>
        <w:spacing w:after="0" w:line="268" w:lineRule="auto"/>
        <w:jc w:val="left"/>
        <w:rPr>
          <w:sz w:val="18"/>
        </w:rPr>
        <w:sectPr>
          <w:type w:val="continuous"/>
          <w:pgSz w:w="11920" w:h="16860"/>
          <w:pgMar w:top="780" w:bottom="280" w:left="283" w:right="0"/>
          <w:cols w:num="2" w:equalWidth="0">
            <w:col w:w="2967" w:space="1218"/>
            <w:col w:w="7452"/>
          </w:cols>
        </w:sectPr>
      </w:pPr>
    </w:p>
    <w:p>
      <w:pPr>
        <w:pStyle w:val="Heading1"/>
        <w:spacing w:before="178"/>
        <w:ind w:left="4126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3715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4830"/>
                <wp:effectExtent l="0" t="0" r="0" b="0"/>
                <wp:wrapNone/>
                <wp:docPr id="2" name="Group 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" name="Group 2"/>
                      <wpg:cNvGrpSpPr/>
                      <wpg:grpSpPr>
                        <a:xfrm>
                          <a:off x="0" y="0"/>
                          <a:ext cx="7568565" cy="10704830"/>
                          <a:chExt cx="7568565" cy="1070483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2476487" y="12"/>
                            <a:ext cx="5092065" cy="10704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92065" h="10704830">
                                <a:moveTo>
                                  <a:pt x="5091684" y="2971787"/>
                                </a:moveTo>
                                <a:lnTo>
                                  <a:pt x="0" y="2971787"/>
                                </a:lnTo>
                                <a:lnTo>
                                  <a:pt x="0" y="10704563"/>
                                </a:lnTo>
                                <a:lnTo>
                                  <a:pt x="5091684" y="10704563"/>
                                </a:lnTo>
                                <a:lnTo>
                                  <a:pt x="5091684" y="2971787"/>
                                </a:lnTo>
                                <a:close/>
                              </a:path>
                              <a:path w="5092065" h="10704830">
                                <a:moveTo>
                                  <a:pt x="509168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47800"/>
                                </a:lnTo>
                                <a:lnTo>
                                  <a:pt x="5091684" y="1447800"/>
                                </a:lnTo>
                                <a:lnTo>
                                  <a:pt x="50916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2466975" cy="8772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66975" h="8772525">
                                <a:moveTo>
                                  <a:pt x="2466974" y="8772524"/>
                                </a:moveTo>
                                <a:lnTo>
                                  <a:pt x="0" y="8772524"/>
                                </a:lnTo>
                                <a:lnTo>
                                  <a:pt x="0" y="0"/>
                                </a:lnTo>
                                <a:lnTo>
                                  <a:pt x="2466974" y="0"/>
                                </a:lnTo>
                                <a:lnTo>
                                  <a:pt x="2466974" y="87725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6225" y="555624"/>
                            <a:ext cx="1733549" cy="173989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1477" y="3381375"/>
                            <a:ext cx="200766" cy="20076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4730" y="3724275"/>
                            <a:ext cx="174258" cy="2006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1480" y="4128290"/>
                            <a:ext cx="200679" cy="17376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" name="Graphic 9"/>
                        <wps:cNvSpPr/>
                        <wps:spPr>
                          <a:xfrm>
                            <a:off x="2162174" y="2971799"/>
                            <a:ext cx="304800" cy="381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4800" h="381000">
                                <a:moveTo>
                                  <a:pt x="304799" y="380999"/>
                                </a:moveTo>
                                <a:lnTo>
                                  <a:pt x="0" y="0"/>
                                </a:lnTo>
                                <a:lnTo>
                                  <a:pt x="304799" y="0"/>
                                </a:lnTo>
                                <a:lnTo>
                                  <a:pt x="304799" y="3809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18B8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95.950pt;height:842.9pt;mso-position-horizontal-relative:page;mso-position-vertical-relative:page;z-index:-15779328" id="docshapegroup2" coordorigin="0,0" coordsize="11919,16858">
                <v:shape style="position:absolute;left:3899;top:0;width:8019;height:16858" id="docshape3" coordorigin="3900,0" coordsize="8019,16858" path="m11918,4680l3900,4680,3900,16858,11918,16858,11918,4680xm11918,0l3900,0,3900,2280,11918,2280,11918,0xe" filled="true" fillcolor="#f5f5f5" stroked="false">
                  <v:path arrowok="t"/>
                  <v:fill type="solid"/>
                </v:shape>
                <v:rect style="position:absolute;left:0;top:0;width:3885;height:13815" id="docshape4" filled="true" fillcolor="#ffffff" stroked="false">
                  <v:fill type="solid"/>
                </v:rect>
                <v:shape style="position:absolute;left:435;top:875;width:2730;height:2740" type="#_x0000_t75" id="docshape5" stroked="false">
                  <v:imagedata r:id="rId5" o:title=""/>
                </v:shape>
                <v:shape style="position:absolute;left:585;top:5325;width:317;height:317" type="#_x0000_t75" id="docshape6" stroked="false">
                  <v:imagedata r:id="rId6" o:title=""/>
                </v:shape>
                <v:shape style="position:absolute;left:605;top:5865;width:275;height:317" type="#_x0000_t75" id="docshape7" stroked="false">
                  <v:imagedata r:id="rId7" o:title=""/>
                </v:shape>
                <v:shape style="position:absolute;left:585;top:6501;width:317;height:274" type="#_x0000_t75" id="docshape8" stroked="false">
                  <v:imagedata r:id="rId8" o:title=""/>
                </v:shape>
                <v:shape style="position:absolute;left:3405;top:4680;width:480;height:600" id="docshape9" coordorigin="3405,4680" coordsize="480,600" path="m3885,5280l3405,4680,3885,4680,3885,5280xe" filled="true" fillcolor="#918b8b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color w:val="134E5C"/>
          <w:spacing w:val="-2"/>
        </w:rPr>
        <w:t>EDUCATION</w:t>
      </w:r>
    </w:p>
    <w:p>
      <w:pPr>
        <w:spacing w:before="166"/>
        <w:ind w:left="4126" w:right="0" w:firstLine="0"/>
        <w:jc w:val="left"/>
        <w:rPr>
          <w:sz w:val="20"/>
        </w:rPr>
      </w:pPr>
      <w:r>
        <w:rPr>
          <w:sz w:val="20"/>
        </w:rPr>
        <w:t>BS</w:t>
      </w:r>
      <w:r>
        <w:rPr>
          <w:spacing w:val="4"/>
          <w:sz w:val="20"/>
        </w:rPr>
        <w:t> </w:t>
      </w:r>
      <w:r>
        <w:rPr>
          <w:sz w:val="20"/>
        </w:rPr>
        <w:t>in</w:t>
      </w:r>
      <w:r>
        <w:rPr>
          <w:spacing w:val="4"/>
          <w:sz w:val="20"/>
        </w:rPr>
        <w:t> </w:t>
      </w:r>
      <w:r>
        <w:rPr>
          <w:spacing w:val="-2"/>
          <w:sz w:val="20"/>
        </w:rPr>
        <w:t>Finance</w:t>
      </w:r>
    </w:p>
    <w:p>
      <w:pPr>
        <w:pStyle w:val="BodyText"/>
        <w:spacing w:before="29"/>
        <w:ind w:left="4126"/>
      </w:pPr>
      <w:r>
        <w:rPr>
          <w:color w:val="134E5C"/>
          <w:spacing w:val="-2"/>
          <w:w w:val="105"/>
        </w:rPr>
        <w:t>Minnesota</w:t>
      </w:r>
      <w:r>
        <w:rPr>
          <w:color w:val="134E5C"/>
          <w:spacing w:val="-5"/>
          <w:w w:val="105"/>
        </w:rPr>
        <w:t> </w:t>
      </w:r>
      <w:r>
        <w:rPr>
          <w:color w:val="134E5C"/>
          <w:spacing w:val="-2"/>
          <w:w w:val="105"/>
        </w:rPr>
        <w:t>State</w:t>
      </w:r>
      <w:r>
        <w:rPr>
          <w:color w:val="134E5C"/>
          <w:spacing w:val="-5"/>
          <w:w w:val="105"/>
        </w:rPr>
        <w:t> </w:t>
      </w:r>
      <w:r>
        <w:rPr>
          <w:color w:val="134E5C"/>
          <w:spacing w:val="-2"/>
          <w:w w:val="105"/>
        </w:rPr>
        <w:t>University</w:t>
      </w:r>
      <w:r>
        <w:rPr>
          <w:color w:val="134E5C"/>
          <w:spacing w:val="-5"/>
          <w:w w:val="105"/>
        </w:rPr>
        <w:t> </w:t>
      </w:r>
      <w:r>
        <w:rPr>
          <w:color w:val="134E5C"/>
          <w:spacing w:val="-2"/>
          <w:w w:val="105"/>
        </w:rPr>
        <w:t>Moorhead,</w:t>
      </w:r>
      <w:r>
        <w:rPr>
          <w:color w:val="134E5C"/>
          <w:spacing w:val="-5"/>
          <w:w w:val="105"/>
        </w:rPr>
        <w:t> </w:t>
      </w:r>
      <w:r>
        <w:rPr>
          <w:color w:val="134E5C"/>
          <w:spacing w:val="-2"/>
          <w:w w:val="105"/>
        </w:rPr>
        <w:t>Moorhead,</w:t>
      </w:r>
      <w:r>
        <w:rPr>
          <w:color w:val="134E5C"/>
          <w:spacing w:val="-5"/>
          <w:w w:val="105"/>
        </w:rPr>
        <w:t> </w:t>
      </w:r>
      <w:r>
        <w:rPr>
          <w:color w:val="134E5C"/>
          <w:spacing w:val="-2"/>
          <w:w w:val="105"/>
        </w:rPr>
        <w:t>MN</w:t>
      </w:r>
      <w:r>
        <w:rPr>
          <w:color w:val="134E5C"/>
          <w:spacing w:val="-4"/>
          <w:w w:val="105"/>
        </w:rPr>
        <w:t> </w:t>
      </w:r>
      <w:r>
        <w:rPr>
          <w:color w:val="134E5C"/>
          <w:spacing w:val="-2"/>
          <w:w w:val="105"/>
        </w:rPr>
        <w:t>|</w:t>
      </w:r>
      <w:r>
        <w:rPr>
          <w:color w:val="134E5C"/>
          <w:spacing w:val="-5"/>
          <w:w w:val="105"/>
        </w:rPr>
        <w:t> </w:t>
      </w:r>
      <w:r>
        <w:rPr>
          <w:color w:val="134E5C"/>
          <w:spacing w:val="-2"/>
          <w:w w:val="105"/>
        </w:rPr>
        <w:t>2020</w:t>
      </w:r>
      <w:r>
        <w:rPr>
          <w:color w:val="134E5C"/>
          <w:spacing w:val="-5"/>
          <w:w w:val="105"/>
        </w:rPr>
        <w:t> </w:t>
      </w:r>
      <w:r>
        <w:rPr>
          <w:color w:val="134E5C"/>
          <w:spacing w:val="-2"/>
          <w:w w:val="105"/>
        </w:rPr>
        <w:t>-</w:t>
      </w:r>
      <w:r>
        <w:rPr>
          <w:color w:val="134E5C"/>
          <w:spacing w:val="-5"/>
          <w:w w:val="105"/>
        </w:rPr>
        <w:t> </w:t>
      </w:r>
      <w:r>
        <w:rPr>
          <w:color w:val="134E5C"/>
          <w:spacing w:val="-4"/>
          <w:w w:val="105"/>
        </w:rPr>
        <w:t>2024</w:t>
      </w:r>
    </w:p>
    <w:sectPr>
      <w:type w:val="continuous"/>
      <w:pgSz w:w="11920" w:h="16860"/>
      <w:pgMar w:top="780" w:bottom="280" w:left="283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759" w:hanging="298"/>
      </w:pPr>
      <w:rPr>
        <w:rFonts w:hint="default" w:ascii="Arial" w:hAnsi="Arial" w:eastAsia="Arial" w:cs="Arial"/>
        <w:b w:val="0"/>
        <w:bCs w:val="0"/>
        <w:i w:val="0"/>
        <w:iCs w:val="0"/>
        <w:color w:val="134E5C"/>
        <w:spacing w:val="0"/>
        <w:w w:val="147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445" w:hanging="298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131" w:hanging="29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817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503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188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874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560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6246" w:hanging="298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>
      <w:ind w:left="591"/>
    </w:pPr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08"/>
      <w:outlineLvl w:val="1"/>
    </w:pPr>
    <w:rPr>
      <w:rFonts w:ascii="Arial" w:hAnsi="Arial" w:eastAsia="Arial" w:cs="Arial"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123"/>
      <w:ind w:left="591" w:hanging="297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2026-10-10T05:11:38Z</dcterms:created>
  <dcterms:modified xsi:type="dcterms:W3CDTF">2026-10-10T05:11:38Z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2026-10-10T00:00:00Z</vt:filetime>
  </property>
  <property fmtid="{D5CDD505-2E9C-101B-9397-08002B2CF9AE}" pid="3" name="Creator">
    <vt:lpwstr>Chromium</vt:lpwstr>
  </property>
  <property fmtid="{D5CDD505-2E9C-101B-9397-08002B2CF9AE}" pid="4" name="LastSaved">
    <vt:filetime>2026-10-10T00:00:00Z</vt:filetime>
  </property>
  <property fmtid="{D5CDD505-2E9C-101B-9397-08002B2CF9AE}" pid="5" name="Producer">
    <vt:lpwstr>Skia/PDF m121</vt:lpwstr>
  </property>
</Properties>
</file>