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22" w:right="11" w:firstLine="0"/>
        <w:jc w:val="center"/>
        <w:rPr>
          <w:sz w:val="74"/>
        </w:rPr>
      </w:pPr>
      <w:r>
        <w:rPr>
          <w:color w:val="424242"/>
          <w:spacing w:val="11"/>
          <w:sz w:val="74"/>
        </w:rPr>
        <w:t>Shira</w:t>
      </w:r>
      <w:r>
        <w:rPr>
          <w:color w:val="424242"/>
          <w:spacing w:val="31"/>
          <w:sz w:val="74"/>
        </w:rPr>
        <w:t> </w:t>
      </w:r>
      <w:r>
        <w:rPr>
          <w:color w:val="424242"/>
          <w:spacing w:val="9"/>
          <w:sz w:val="74"/>
        </w:rPr>
        <w:t>Ncube</w:t>
      </w:r>
    </w:p>
    <w:p>
      <w:pPr>
        <w:pStyle w:val="BodyText"/>
        <w:spacing w:before="199"/>
        <w:ind w:left="3722"/>
        <w:jc w:val="center"/>
      </w:pPr>
      <w:r>
        <w:rPr>
          <w:w w:val="105"/>
        </w:rPr>
        <w:t>Billing</w:t>
      </w:r>
      <w:r>
        <w:rPr>
          <w:spacing w:val="23"/>
          <w:w w:val="105"/>
        </w:rPr>
        <w:t> </w:t>
      </w:r>
      <w:r>
        <w:rPr>
          <w:w w:val="105"/>
        </w:rPr>
        <w:t>and</w:t>
      </w:r>
      <w:r>
        <w:rPr>
          <w:spacing w:val="24"/>
          <w:w w:val="105"/>
        </w:rPr>
        <w:t> </w:t>
      </w:r>
      <w:r>
        <w:rPr>
          <w:w w:val="105"/>
        </w:rPr>
        <w:t>Coding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Specialist</w:t>
      </w:r>
    </w:p>
    <w:p>
      <w:pPr>
        <w:spacing w:line="273" w:lineRule="auto" w:before="172"/>
        <w:ind w:left="4287" w:right="320" w:firstLine="0"/>
        <w:jc w:val="center"/>
        <w:rPr>
          <w:sz w:val="16"/>
        </w:rPr>
      </w:pPr>
      <w:r>
        <w:rPr>
          <w:w w:val="105"/>
          <w:sz w:val="16"/>
        </w:rPr>
        <w:t>Billing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specialist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maintaining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claim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accuracy above 97.97% by cross-referencing CPT and HCPCS codes against patient records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submitting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UB-04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forms.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Skilled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Epic,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insurance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eligibility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verification,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charge posting,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HIPAA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compliance,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reducing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account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discrepancies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 21.3%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reconciliation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charge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entries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explanation-of-benefits </w:t>
      </w:r>
      <w:r>
        <w:rPr>
          <w:spacing w:val="-2"/>
          <w:w w:val="105"/>
          <w:sz w:val="16"/>
        </w:rPr>
        <w:t>documents.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15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283"/>
        </w:sectPr>
      </w:pPr>
    </w:p>
    <w:p>
      <w:pPr>
        <w:pStyle w:val="BodyText"/>
        <w:ind w:left="0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412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2476512"/>
                            <a:ext cx="2286000" cy="822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8229600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337"/>
                                </a:lnTo>
                                <a:lnTo>
                                  <a:pt x="0" y="5619737"/>
                                </a:lnTo>
                                <a:lnTo>
                                  <a:pt x="0" y="8229574"/>
                                </a:lnTo>
                                <a:lnTo>
                                  <a:pt x="2286000" y="8229574"/>
                                </a:lnTo>
                                <a:lnTo>
                                  <a:pt x="2286000" y="5619737"/>
                                </a:lnTo>
                                <a:lnTo>
                                  <a:pt x="2286000" y="133337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477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77135">
                                <a:moveTo>
                                  <a:pt x="7568171" y="12"/>
                                </a:moveTo>
                                <a:lnTo>
                                  <a:pt x="2476487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2476500"/>
                                </a:lnTo>
                                <a:lnTo>
                                  <a:pt x="2476487" y="2476500"/>
                                </a:lnTo>
                                <a:lnTo>
                                  <a:pt x="7568171" y="2476512"/>
                                </a:lnTo>
                                <a:lnTo>
                                  <a:pt x="756817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6199" y="743035"/>
                            <a:ext cx="2286000" cy="699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6991350">
                                <a:moveTo>
                                  <a:pt x="2285999" y="6991263"/>
                                </a:moveTo>
                                <a:lnTo>
                                  <a:pt x="0" y="6991263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2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20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1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9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6991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4787" y="90011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8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4"/>
                                </a:lnTo>
                                <a:lnTo>
                                  <a:pt x="1309725" y="43628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39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6"/>
                                </a:lnTo>
                                <a:lnTo>
                                  <a:pt x="1951697" y="1403345"/>
                                </a:lnTo>
                                <a:lnTo>
                                  <a:pt x="1931544" y="1448810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3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0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30"/>
                                </a:lnTo>
                                <a:lnTo>
                                  <a:pt x="1578518" y="1858065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8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1"/>
                                </a:lnTo>
                                <a:lnTo>
                                  <a:pt x="450305" y="1858065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0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0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3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0"/>
                                </a:lnTo>
                                <a:lnTo>
                                  <a:pt x="77126" y="1403345"/>
                                </a:lnTo>
                                <a:lnTo>
                                  <a:pt x="59228" y="1356946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95884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4194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7338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40576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0037" y="4895849"/>
                            <a:ext cx="47625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09800">
                                <a:moveTo>
                                  <a:pt x="47625" y="2182647"/>
                                </a:moveTo>
                                <a:lnTo>
                                  <a:pt x="27165" y="2162175"/>
                                </a:lnTo>
                                <a:lnTo>
                                  <a:pt x="20472" y="2162175"/>
                                </a:lnTo>
                                <a:lnTo>
                                  <a:pt x="0" y="2182647"/>
                                </a:lnTo>
                                <a:lnTo>
                                  <a:pt x="0" y="2186216"/>
                                </a:lnTo>
                                <a:lnTo>
                                  <a:pt x="0" y="2189340"/>
                                </a:lnTo>
                                <a:lnTo>
                                  <a:pt x="20472" y="2209800"/>
                                </a:lnTo>
                                <a:lnTo>
                                  <a:pt x="27165" y="2209800"/>
                                </a:lnTo>
                                <a:lnTo>
                                  <a:pt x="47625" y="2189340"/>
                                </a:lnTo>
                                <a:lnTo>
                                  <a:pt x="47625" y="21826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973097"/>
                                </a:moveTo>
                                <a:lnTo>
                                  <a:pt x="27165" y="1952625"/>
                                </a:lnTo>
                                <a:lnTo>
                                  <a:pt x="20472" y="1952625"/>
                                </a:lnTo>
                                <a:lnTo>
                                  <a:pt x="0" y="1973097"/>
                                </a:lnTo>
                                <a:lnTo>
                                  <a:pt x="0" y="1976666"/>
                                </a:lnTo>
                                <a:lnTo>
                                  <a:pt x="0" y="1979790"/>
                                </a:lnTo>
                                <a:lnTo>
                                  <a:pt x="20472" y="2000250"/>
                                </a:lnTo>
                                <a:lnTo>
                                  <a:pt x="27165" y="2000250"/>
                                </a:lnTo>
                                <a:lnTo>
                                  <a:pt x="47625" y="1979790"/>
                                </a:lnTo>
                                <a:lnTo>
                                  <a:pt x="47625" y="19730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763547"/>
                                </a:moveTo>
                                <a:lnTo>
                                  <a:pt x="27165" y="1743075"/>
                                </a:lnTo>
                                <a:lnTo>
                                  <a:pt x="20472" y="1743075"/>
                                </a:lnTo>
                                <a:lnTo>
                                  <a:pt x="0" y="1763547"/>
                                </a:lnTo>
                                <a:lnTo>
                                  <a:pt x="0" y="1767116"/>
                                </a:lnTo>
                                <a:lnTo>
                                  <a:pt x="0" y="1770240"/>
                                </a:lnTo>
                                <a:lnTo>
                                  <a:pt x="20472" y="1790700"/>
                                </a:lnTo>
                                <a:lnTo>
                                  <a:pt x="27165" y="1790700"/>
                                </a:lnTo>
                                <a:lnTo>
                                  <a:pt x="47625" y="1770240"/>
                                </a:lnTo>
                                <a:lnTo>
                                  <a:pt x="47625" y="17635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435635"/>
                                </a:moveTo>
                                <a:lnTo>
                                  <a:pt x="31102" y="419100"/>
                                </a:lnTo>
                                <a:lnTo>
                                  <a:pt x="16535" y="419100"/>
                                </a:lnTo>
                                <a:lnTo>
                                  <a:pt x="0" y="435635"/>
                                </a:lnTo>
                                <a:lnTo>
                                  <a:pt x="0" y="438150"/>
                                </a:lnTo>
                                <a:lnTo>
                                  <a:pt x="0" y="440677"/>
                                </a:lnTo>
                                <a:lnTo>
                                  <a:pt x="16535" y="457200"/>
                                </a:lnTo>
                                <a:lnTo>
                                  <a:pt x="31102" y="457200"/>
                                </a:lnTo>
                                <a:lnTo>
                                  <a:pt x="47625" y="440677"/>
                                </a:lnTo>
                                <a:lnTo>
                                  <a:pt x="47625" y="435635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5232" id="docshapegroup1" coordorigin="0,0" coordsize="11919,16860">
                <v:shape style="position:absolute;left:119;top:3900;width:3600;height:12960" id="docshape2" coordorigin="120,3900" coordsize="3600,12960" path="m3720,3900l120,3900,120,4110,120,12750,120,16860,3720,16860,3720,12750,3720,4110,3720,3900xe" filled="true" fillcolor="#424242" stroked="false">
                  <v:path arrowok="t"/>
                  <v:fill type="solid"/>
                </v:shape>
                <v:shape style="position:absolute;left:0;top:0;width:11919;height:3901" id="docshape3" coordorigin="0,0" coordsize="11919,3901" path="m11918,0l3900,0,0,0,0,3900,3900,3900,11918,3900,11918,0xe" filled="true" fillcolor="#f2f2f2" stroked="false">
                  <v:path arrowok="t"/>
                  <v:fill type="solid"/>
                </v:shape>
                <v:shape style="position:absolute;left:120;top:1170;width:3600;height:11010" id="docshape4" coordorigin="120,1170" coordsize="3600,11010" path="m3720,12180l120,12180,120,2948,123,2860,131,2772,143,2684,159,2597,179,2511,204,2426,233,2343,266,2261,302,2180,343,2102,388,2026,436,1952,487,1880,543,1811,601,1745,663,1682,728,1622,795,1565,866,1511,938,1461,1014,1415,1091,1372,1170,1333,1252,1299,1334,1268,1419,1241,1504,1219,1591,1200,1678,1186,1766,1177,1854,1171,1898,1170,1942,1170,2030,1173,2118,1181,2206,1193,2293,1209,2379,1229,2464,1254,2547,1283,2629,1316,2710,1352,2788,1393,2864,1438,2938,1486,3010,1537,3079,1593,3145,1651,3208,1713,3268,1778,3325,1845,3379,1916,3429,1988,3475,2064,3518,2141,3557,2220,3591,2302,3622,2384,3649,2469,3671,2554,3690,2641,3704,2728,3713,2816,3719,2904,3720,12180xe" filled="true" fillcolor="#424242" stroked="false">
                  <v:path arrowok="t"/>
                  <v:fill type="solid"/>
                </v:shape>
                <v:shape style="position:absolute;left:322;top:1417;width:3195;height:3195" id="docshape5" coordorigin="322,1417" coordsize="3195,3195" path="m322,3017l322,3013,323,2994,326,2915,332,2837,343,2760,357,2683,375,2606,397,2531,422,2457,452,2384,484,2313,520,2244,560,2176,602,2110,648,2047,697,1986,749,1927,804,1871,861,1818,921,1767,983,1720,1048,1676,1115,1635,1183,1597,1254,1562,1326,1532,1399,1504,1474,1481,1549,1461,1626,1444,1703,1432,1781,1423,1859,1419,1918,1417,1922,1417,2000,1419,2078,1425,2156,1435,2233,1448,2310,1465,2385,1486,2459,1511,2532,1539,2604,1571,2674,1606,2742,1645,2808,1686,2872,1732,2934,1780,2993,1831,3050,1885,3104,1942,3155,2001,3203,2063,3249,2127,3290,2193,3329,2261,3364,2331,3396,2403,3424,2476,3449,2550,3470,2625,3487,2702,3500,2779,3510,2857,3516,2935,3517,3013,3517,3017,3516,3095,3510,3173,3500,3251,3487,3328,3470,3405,3449,3480,3424,3554,3396,3627,3364,3699,3329,3769,3290,3837,3249,3903,3203,3967,3155,4029,3104,4088,3050,4145,2993,4199,2934,4250,2872,4298,2808,4344,2742,4385,2674,4424,2604,4459,2532,4491,2459,4519,2385,4544,2310,4565,2233,4582,2156,4595,2078,4605,2000,4611,1922,4612,1918,4612,1840,4611,1762,4605,1684,4595,1607,4582,1530,4565,1455,4544,1381,4519,1308,4491,1236,4459,1166,4424,1098,4385,1032,4344,968,4298,906,4250,847,4199,790,4145,736,4088,685,4029,637,3967,591,3903,550,3837,511,3769,476,3699,444,3627,416,3554,391,3480,370,3405,353,3328,340,3251,330,3173,324,3095,322,3017xe" filled="false" stroked="true" strokeweight="2.25pt" strokecolor="#ffffff">
                  <v:path arrowok="t"/>
                  <v:stroke dashstyle="solid"/>
                </v:shape>
                <v:shape style="position:absolute;left:405;top:1510;width:3030;height:3020" type="#_x0000_t75" id="docshape6" stroked="false">
                  <v:imagedata r:id="rId5" o:title=""/>
                </v:shape>
                <v:shape style="position:absolute;left:630;top:5385;width:317;height:317" type="#_x0000_t75" id="docshape7" stroked="false">
                  <v:imagedata r:id="rId6" o:title=""/>
                </v:shape>
                <v:shape style="position:absolute;left:650;top:5880;width:275;height:317" type="#_x0000_t75" id="docshape8" stroked="false">
                  <v:imagedata r:id="rId7" o:title=""/>
                </v:shape>
                <v:shape style="position:absolute;left:631;top:6390;width:315;height:317" type="#_x0000_t75" id="docshape9" stroked="false">
                  <v:imagedata r:id="rId8" o:title=""/>
                </v:shape>
                <v:shape style="position:absolute;left:629;top:7710;width:75;height:3480" id="docshape10" coordorigin="630,7710" coordsize="75,3480" path="m705,11147l704,11142,700,11133,698,11129,691,11122,687,11120,678,11116,673,11115,662,11115,657,11116,648,11120,644,11122,637,11129,635,11133,631,11142,630,11147,630,11153,630,11158,631,11163,635,11172,637,11176,644,11183,648,11185,657,11189,662,11190,673,11190,678,11189,687,11185,691,11183,698,11176,700,11172,704,11163,705,11158,705,11147xm705,10817l704,10812,700,10803,698,10799,691,10792,687,10790,678,10786,673,10785,662,10785,657,10786,648,10790,644,10792,637,10799,635,10803,631,10812,630,10817,630,10823,630,10828,631,10833,635,10842,637,10846,644,10853,648,10855,657,10859,662,10860,673,10860,678,10859,687,10855,691,10853,698,10846,700,10842,704,10833,705,10828,705,10817xm705,10487l704,10482,700,10473,698,10469,691,10462,687,10460,678,10456,673,10455,662,10455,657,10456,648,10460,644,10462,637,10469,635,10473,631,10482,630,10487,630,10493,630,10498,631,10503,635,10512,637,10516,644,10523,648,10525,657,10529,662,10530,673,10530,678,10529,687,10525,691,10523,698,10516,700,10512,704,10503,705,10498,705,10487xm705,9932l704,9927,700,9918,698,9914,691,9907,687,9905,678,9901,673,9900,662,9900,657,9901,648,9905,644,9907,637,9914,635,9918,631,9927,630,9932,630,9938,630,9943,631,9948,635,9957,637,9961,644,9968,648,9970,657,9974,662,9975,673,9975,678,9974,687,9970,691,9968,698,9961,700,9957,704,9948,705,9943,705,9932xm705,9377l704,9372,700,9363,698,9359,691,9352,687,9350,678,9346,673,9345,662,9345,657,9346,648,9350,644,9352,637,9359,635,9363,631,9372,630,9377,630,9383,630,9388,631,9393,635,9402,637,9406,644,9413,648,9415,657,9419,662,9420,673,9420,678,9419,687,9415,691,9413,698,9406,700,9402,704,9393,705,9388,705,9377xm705,9047l704,9042,700,9033,698,9029,691,9022,687,9020,678,9016,673,9015,662,9015,657,9016,648,9020,644,9022,637,9029,635,9033,631,9042,630,9047,630,9053,630,9058,631,9063,635,9072,637,9076,644,9083,648,9085,657,9089,662,9090,673,9090,678,9089,687,9085,691,9083,698,9076,700,9072,704,9063,705,9058,705,9047xm705,8717l704,8712,700,8703,698,8699,691,8692,687,8690,678,8686,673,8685,662,8685,657,8686,648,8690,644,8692,637,8699,635,8703,631,8712,630,8717,630,8723,630,8728,631,8733,635,8742,637,8746,644,8753,648,8755,657,8759,662,8760,673,8760,678,8759,687,8755,691,8753,698,8746,700,8742,704,8733,705,8728,705,8717xm705,8396l704,8392,701,8385,699,8382,693,8376,690,8374,683,8371,679,8370,656,8370,652,8371,645,8374,642,8376,636,8382,634,8385,631,8392,630,8396,630,8400,630,8404,631,8408,634,8415,636,8418,642,8424,645,8426,652,8429,656,8430,679,8430,683,8429,690,8426,693,8424,699,8418,701,8415,704,8408,705,8404,705,8396xm705,8072l704,8067,700,8058,698,8054,691,8047,687,8045,678,8041,673,8040,662,8040,657,8041,648,8045,644,8047,637,8054,635,8058,631,8067,630,8072,630,8078,630,8083,631,8088,635,8097,637,8101,644,8108,648,8110,657,8114,662,8115,673,8115,678,8114,687,8110,691,8108,698,8101,700,8097,704,8088,705,8083,705,8072xm705,7742l704,7737,700,7728,698,7724,691,7717,687,7715,678,7711,673,7710,662,7710,657,7711,648,7715,644,7717,637,7724,635,7728,631,7737,630,7742,630,7748,630,7753,631,7758,635,7767,637,7771,644,7778,648,7780,657,7784,662,7785,673,7785,678,7784,687,7780,691,7778,698,7771,700,7767,704,7758,705,7753,705,774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9"/>
        <w:ind w:left="0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6"/>
        <w:ind w:left="815"/>
      </w:pPr>
      <w:r>
        <w:rPr>
          <w:color w:val="FFFFFF"/>
        </w:rPr>
        <w:t>(541)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0118</w:t>
      </w:r>
    </w:p>
    <w:p>
      <w:pPr>
        <w:pStyle w:val="BodyText"/>
        <w:spacing w:before="96"/>
        <w:ind w:left="0"/>
      </w:pPr>
    </w:p>
    <w:p>
      <w:pPr>
        <w:pStyle w:val="BodyText"/>
        <w:spacing w:line="573" w:lineRule="auto"/>
        <w:ind w:left="815"/>
      </w:pPr>
      <w:hyperlink r:id="rId9">
        <w:r>
          <w:rPr>
            <w:color w:val="FFFFFF"/>
            <w:spacing w:val="-2"/>
          </w:rPr>
          <w:t>shira.ncube@example.com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Roseburg, OR 12345</w:t>
      </w:r>
    </w:p>
    <w:p>
      <w:pPr>
        <w:pStyle w:val="BodyText"/>
        <w:spacing w:before="37"/>
        <w:ind w:left="0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381" w:lineRule="auto" w:before="200"/>
        <w:ind w:right="221"/>
      </w:pPr>
      <w:r>
        <w:rPr>
          <w:color w:val="FFFFFF"/>
          <w:spacing w:val="-2"/>
          <w:w w:val="105"/>
        </w:rPr>
        <w:t>CPT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HCPCS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Coding </w:t>
      </w:r>
      <w:r>
        <w:rPr>
          <w:color w:val="FFFFFF"/>
          <w:w w:val="105"/>
        </w:rPr>
        <w:t>ICD Code Assignment </w:t>
      </w:r>
      <w:r>
        <w:rPr>
          <w:color w:val="FFFFFF"/>
          <w:spacing w:val="-4"/>
          <w:w w:val="105"/>
        </w:rPr>
        <w:t>Epic</w:t>
      </w:r>
    </w:p>
    <w:p>
      <w:pPr>
        <w:pStyle w:val="BodyText"/>
        <w:spacing w:line="195" w:lineRule="exact"/>
      </w:pPr>
      <w:r>
        <w:rPr>
          <w:color w:val="FFFFFF"/>
          <w:spacing w:val="-2"/>
          <w:w w:val="105"/>
        </w:rPr>
        <w:t>UB-04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Claim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Submission</w:t>
      </w:r>
    </w:p>
    <w:p>
      <w:pPr>
        <w:pStyle w:val="BodyText"/>
        <w:spacing w:before="123"/>
      </w:pPr>
      <w:r>
        <w:rPr>
          <w:color w:val="FFFFFF"/>
        </w:rPr>
        <w:t>HIPAA</w:t>
      </w:r>
      <w:r>
        <w:rPr>
          <w:color w:val="FFFFFF"/>
          <w:spacing w:val="-10"/>
        </w:rPr>
        <w:t> </w:t>
      </w:r>
      <w:r>
        <w:rPr>
          <w:color w:val="FFFFFF"/>
          <w:spacing w:val="-2"/>
        </w:rPr>
        <w:t>Compliance</w:t>
      </w:r>
    </w:p>
    <w:p>
      <w:pPr>
        <w:pStyle w:val="BodyText"/>
        <w:spacing w:line="261" w:lineRule="auto" w:before="123"/>
      </w:pPr>
      <w:r>
        <w:rPr>
          <w:color w:val="FFFFFF"/>
          <w:spacing w:val="-2"/>
          <w:w w:val="105"/>
        </w:rPr>
        <w:t>Insurance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Eligibility Veriﬁcation</w:t>
      </w:r>
    </w:p>
    <w:p>
      <w:pPr>
        <w:pStyle w:val="BodyText"/>
        <w:spacing w:line="278" w:lineRule="auto" w:before="104"/>
      </w:pPr>
      <w:r>
        <w:rPr>
          <w:color w:val="FFFFFF"/>
          <w:spacing w:val="-2"/>
          <w:w w:val="105"/>
        </w:rPr>
        <w:t>Charge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Posting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Reconciliation</w:t>
      </w:r>
    </w:p>
    <w:p>
      <w:pPr>
        <w:pStyle w:val="BodyText"/>
        <w:spacing w:line="381" w:lineRule="auto" w:before="75"/>
        <w:ind w:right="405"/>
      </w:pPr>
      <w:r>
        <w:rPr>
          <w:color w:val="FFFFFF"/>
          <w:spacing w:val="-2"/>
          <w:w w:val="105"/>
        </w:rPr>
        <w:t>Medicaid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Billing </w:t>
      </w:r>
      <w:r>
        <w:rPr>
          <w:color w:val="FFFFFF"/>
          <w:w w:val="105"/>
        </w:rPr>
        <w:t>Microsoft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Word</w:t>
      </w:r>
    </w:p>
    <w:p>
      <w:pPr>
        <w:pStyle w:val="BodyText"/>
        <w:spacing w:line="278" w:lineRule="auto" w:before="2"/>
      </w:pPr>
      <w:r>
        <w:rPr>
          <w:color w:val="FFFFFF"/>
          <w:spacing w:val="-2"/>
          <w:w w:val="105"/>
        </w:rPr>
        <w:t>Practice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Management Systems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56"/>
        <w:ind w:left="164"/>
      </w:pPr>
      <w:r>
        <w:rPr>
          <w:w w:val="105"/>
        </w:rPr>
        <w:t>2025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</w:pPr>
      <w:r>
        <w:rPr>
          <w:w w:val="105"/>
        </w:rPr>
        <w:t>Billing</w:t>
      </w:r>
      <w:r>
        <w:rPr>
          <w:spacing w:val="10"/>
          <w:w w:val="105"/>
        </w:rPr>
        <w:t> </w:t>
      </w:r>
      <w:r>
        <w:rPr>
          <w:w w:val="105"/>
        </w:rPr>
        <w:t>and</w:t>
      </w:r>
      <w:r>
        <w:rPr>
          <w:spacing w:val="11"/>
          <w:w w:val="105"/>
        </w:rPr>
        <w:t> </w:t>
      </w:r>
      <w:r>
        <w:rPr>
          <w:w w:val="105"/>
        </w:rPr>
        <w:t>Coding</w:t>
      </w:r>
      <w:r>
        <w:rPr>
          <w:spacing w:val="10"/>
          <w:w w:val="105"/>
        </w:rPr>
        <w:t> </w:t>
      </w:r>
      <w:r>
        <w:rPr>
          <w:w w:val="105"/>
        </w:rPr>
        <w:t>Specialist,</w:t>
      </w:r>
      <w:r>
        <w:rPr>
          <w:spacing w:val="12"/>
          <w:w w:val="105"/>
        </w:rPr>
        <w:t> </w:t>
      </w:r>
      <w:r>
        <w:rPr>
          <w:w w:val="105"/>
        </w:rPr>
        <w:t>Umpqua</w:t>
      </w:r>
      <w:r>
        <w:rPr>
          <w:spacing w:val="10"/>
          <w:w w:val="105"/>
        </w:rPr>
        <w:t> </w:t>
      </w:r>
      <w:r>
        <w:rPr>
          <w:w w:val="105"/>
        </w:rPr>
        <w:t>Basin</w:t>
      </w:r>
      <w:r>
        <w:rPr>
          <w:spacing w:val="11"/>
          <w:w w:val="105"/>
        </w:rPr>
        <w:t> </w:t>
      </w:r>
      <w:r>
        <w:rPr>
          <w:w w:val="105"/>
        </w:rPr>
        <w:t>Medical</w:t>
      </w:r>
      <w:r>
        <w:rPr>
          <w:spacing w:val="4"/>
          <w:w w:val="105"/>
        </w:rPr>
        <w:t> </w:t>
      </w:r>
      <w:r>
        <w:rPr>
          <w:w w:val="105"/>
        </w:rPr>
        <w:t>Associates,</w:t>
      </w:r>
      <w:r>
        <w:rPr>
          <w:spacing w:val="12"/>
          <w:w w:val="105"/>
        </w:rPr>
        <w:t> </w:t>
      </w:r>
      <w:r>
        <w:rPr>
          <w:w w:val="105"/>
        </w:rPr>
        <w:t>Roseburg,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OR</w:t>
      </w:r>
    </w:p>
    <w:p>
      <w:pPr>
        <w:pStyle w:val="BodyText"/>
        <w:tabs>
          <w:tab w:pos="926" w:val="left" w:leader="none"/>
        </w:tabs>
        <w:spacing w:line="268" w:lineRule="auto" w:before="153"/>
        <w:ind w:left="926" w:right="882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Maintained a 97.97% claim accuracy rate over 11 months by cross-referencing CPT and HCPCS codes against patient records before submitting UB-04 forms.</w:t>
      </w:r>
    </w:p>
    <w:p>
      <w:pPr>
        <w:pStyle w:val="BodyText"/>
        <w:tabs>
          <w:tab w:pos="926" w:val="left" w:leader="none"/>
        </w:tabs>
        <w:spacing w:line="268" w:lineRule="auto" w:before="99"/>
        <w:ind w:left="926" w:right="505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Reduced account discrepancies by 21.3% within the first 6 months by</w:t>
      </w:r>
      <w:r>
        <w:rPr>
          <w:spacing w:val="40"/>
          <w:w w:val="105"/>
        </w:rPr>
        <w:t> </w:t>
      </w:r>
      <w:r>
        <w:rPr>
          <w:w w:val="105"/>
        </w:rPr>
        <w:t>reconciling charge entries against explanation-of-benefits documents in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Epic.</w:t>
      </w:r>
    </w:p>
    <w:p>
      <w:pPr>
        <w:pStyle w:val="BodyText"/>
        <w:tabs>
          <w:tab w:pos="926" w:val="left" w:leader="none"/>
        </w:tabs>
        <w:spacing w:line="278" w:lineRule="auto" w:before="100"/>
        <w:ind w:left="926" w:right="208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Resolved an average of 34 patient billing inquiries per week, answering questions</w:t>
      </w:r>
      <w:r>
        <w:rPr>
          <w:spacing w:val="28"/>
          <w:w w:val="105"/>
        </w:rPr>
        <w:t> </w:t>
      </w:r>
      <w:r>
        <w:rPr>
          <w:w w:val="105"/>
        </w:rPr>
        <w:t>on</w:t>
      </w:r>
      <w:r>
        <w:rPr>
          <w:spacing w:val="28"/>
          <w:w w:val="105"/>
        </w:rPr>
        <w:t> </w:t>
      </w:r>
      <w:r>
        <w:rPr>
          <w:w w:val="105"/>
        </w:rPr>
        <w:t>copays,</w:t>
      </w:r>
      <w:r>
        <w:rPr>
          <w:spacing w:val="28"/>
          <w:w w:val="105"/>
        </w:rPr>
        <w:t> </w:t>
      </w:r>
      <w:r>
        <w:rPr>
          <w:w w:val="105"/>
        </w:rPr>
        <w:t>deductibles,</w:t>
      </w:r>
      <w:r>
        <w:rPr>
          <w:spacing w:val="28"/>
          <w:w w:val="105"/>
        </w:rPr>
        <w:t> </w:t>
      </w:r>
      <w:r>
        <w:rPr>
          <w:w w:val="105"/>
        </w:rPr>
        <w:t>and</w:t>
      </w:r>
      <w:r>
        <w:rPr>
          <w:spacing w:val="28"/>
          <w:w w:val="105"/>
        </w:rPr>
        <w:t> </w:t>
      </w:r>
      <w:r>
        <w:rPr>
          <w:w w:val="105"/>
        </w:rPr>
        <w:t>Medicaid</w:t>
      </w:r>
      <w:r>
        <w:rPr>
          <w:spacing w:val="28"/>
          <w:w w:val="105"/>
        </w:rPr>
        <w:t> </w:t>
      </w:r>
      <w:r>
        <w:rPr>
          <w:w w:val="105"/>
        </w:rPr>
        <w:t>coverage</w:t>
      </w:r>
      <w:r>
        <w:rPr>
          <w:spacing w:val="28"/>
          <w:w w:val="105"/>
        </w:rPr>
        <w:t> </w:t>
      </w:r>
      <w:r>
        <w:rPr>
          <w:w w:val="105"/>
        </w:rPr>
        <w:t>within</w:t>
      </w:r>
      <w:r>
        <w:rPr>
          <w:spacing w:val="28"/>
          <w:w w:val="105"/>
        </w:rPr>
        <w:t> </w:t>
      </w:r>
      <w:r>
        <w:rPr>
          <w:w w:val="105"/>
        </w:rPr>
        <w:t>24</w:t>
      </w:r>
      <w:r>
        <w:rPr>
          <w:spacing w:val="28"/>
          <w:w w:val="105"/>
        </w:rPr>
        <w:t> </w:t>
      </w:r>
      <w:r>
        <w:rPr>
          <w:w w:val="105"/>
        </w:rPr>
        <w:t>hours.</w:t>
      </w:r>
    </w:p>
    <w:p>
      <w:pPr>
        <w:pStyle w:val="BodyText"/>
        <w:tabs>
          <w:tab w:pos="926" w:val="left" w:leader="none"/>
        </w:tabs>
        <w:spacing w:line="278" w:lineRule="auto" w:before="75"/>
        <w:ind w:left="926" w:right="208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Reviewed inpatient and outpatient records for completeness, accuracy, and</w:t>
      </w:r>
      <w:r>
        <w:rPr>
          <w:spacing w:val="40"/>
          <w:w w:val="105"/>
        </w:rPr>
        <w:t> </w:t>
      </w:r>
      <w:r>
        <w:rPr>
          <w:w w:val="105"/>
        </w:rPr>
        <w:t>compliance with HIPAA regulations, averaging 38 encounters per day.</w:t>
      </w:r>
    </w:p>
    <w:p>
      <w:pPr>
        <w:pStyle w:val="BodyText"/>
        <w:spacing w:before="119"/>
        <w:ind w:left="164"/>
      </w:pP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Heading2"/>
      </w:pPr>
      <w:r>
        <w:rPr>
          <w:w w:val="105"/>
        </w:rPr>
        <w:t>Billing</w:t>
      </w:r>
      <w:r>
        <w:rPr>
          <w:spacing w:val="11"/>
          <w:w w:val="105"/>
        </w:rPr>
        <w:t> </w:t>
      </w:r>
      <w:r>
        <w:rPr>
          <w:w w:val="105"/>
        </w:rPr>
        <w:t>Clerk,</w:t>
      </w:r>
      <w:r>
        <w:rPr>
          <w:spacing w:val="12"/>
          <w:w w:val="105"/>
        </w:rPr>
        <w:t> </w:t>
      </w:r>
      <w:r>
        <w:rPr>
          <w:w w:val="105"/>
        </w:rPr>
        <w:t>Calapooya</w:t>
      </w:r>
      <w:r>
        <w:rPr>
          <w:spacing w:val="11"/>
          <w:w w:val="105"/>
        </w:rPr>
        <w:t> </w:t>
      </w:r>
      <w:r>
        <w:rPr>
          <w:w w:val="105"/>
        </w:rPr>
        <w:t>Creek</w:t>
      </w:r>
      <w:r>
        <w:rPr>
          <w:spacing w:val="11"/>
          <w:w w:val="105"/>
        </w:rPr>
        <w:t> </w:t>
      </w:r>
      <w:r>
        <w:rPr>
          <w:w w:val="105"/>
        </w:rPr>
        <w:t>Family</w:t>
      </w:r>
      <w:r>
        <w:rPr>
          <w:spacing w:val="11"/>
          <w:w w:val="105"/>
        </w:rPr>
        <w:t> </w:t>
      </w:r>
      <w:r>
        <w:rPr>
          <w:w w:val="105"/>
        </w:rPr>
        <w:t>Health,</w:t>
      </w:r>
      <w:r>
        <w:rPr>
          <w:spacing w:val="13"/>
          <w:w w:val="105"/>
        </w:rPr>
        <w:t> </w:t>
      </w:r>
      <w:r>
        <w:rPr>
          <w:w w:val="105"/>
        </w:rPr>
        <w:t>Sutherlin,</w:t>
      </w:r>
      <w:r>
        <w:rPr>
          <w:spacing w:val="12"/>
          <w:w w:val="105"/>
        </w:rPr>
        <w:t> </w:t>
      </w:r>
      <w:r>
        <w:rPr>
          <w:spacing w:val="-5"/>
          <w:w w:val="105"/>
        </w:rPr>
        <w:t>OR</w:t>
      </w:r>
    </w:p>
    <w:p>
      <w:pPr>
        <w:pStyle w:val="BodyText"/>
        <w:tabs>
          <w:tab w:pos="926" w:val="left" w:leader="none"/>
        </w:tabs>
        <w:spacing w:line="278" w:lineRule="auto" w:before="153"/>
        <w:ind w:left="926" w:right="208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Verified insurance eligibility and posted charges for an average of 41 patient</w:t>
      </w:r>
      <w:r>
        <w:rPr>
          <w:spacing w:val="40"/>
          <w:w w:val="105"/>
        </w:rPr>
        <w:t> </w:t>
      </w:r>
      <w:r>
        <w:rPr>
          <w:w w:val="105"/>
        </w:rPr>
        <w:t>visits per day, maintaining claim accuracy above 97.28%.</w:t>
      </w:r>
    </w:p>
    <w:p>
      <w:pPr>
        <w:pStyle w:val="BodyText"/>
        <w:tabs>
          <w:tab w:pos="926" w:val="left" w:leader="none"/>
        </w:tabs>
        <w:spacing w:line="278" w:lineRule="auto" w:before="75"/>
        <w:ind w:left="926" w:right="505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Identified and corrected 17 account discrepancies per month by auditing</w:t>
      </w:r>
      <w:r>
        <w:rPr>
          <w:spacing w:val="80"/>
          <w:w w:val="105"/>
        </w:rPr>
        <w:t> </w:t>
      </w:r>
      <w:r>
        <w:rPr>
          <w:w w:val="105"/>
        </w:rPr>
        <w:t>payment postings against remittance advices.</w:t>
      </w:r>
    </w:p>
    <w:p>
      <w:pPr>
        <w:pStyle w:val="BodyText"/>
        <w:tabs>
          <w:tab w:pos="926" w:val="left" w:leader="none"/>
        </w:tabs>
        <w:spacing w:line="261" w:lineRule="auto" w:before="90"/>
        <w:ind w:left="926" w:right="219" w:hanging="292"/>
      </w:pPr>
      <w:r>
        <w:rPr>
          <w:position w:val="3"/>
        </w:rPr>
        <w:drawing>
          <wp:inline distT="0" distB="0" distL="0" distR="0">
            <wp:extent cx="47625" cy="38099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Processed patient admission and discharge documents in compliance with</w:t>
      </w:r>
      <w:r>
        <w:rPr>
          <w:spacing w:val="40"/>
          <w:w w:val="105"/>
        </w:rPr>
        <w:t> </w:t>
      </w:r>
      <w:r>
        <w:rPr>
          <w:w w:val="105"/>
        </w:rPr>
        <w:t>HIPAA regulations, completing each file within 35 minutes of receipt.</w:t>
      </w:r>
    </w:p>
    <w:p>
      <w:pPr>
        <w:pStyle w:val="Heading1"/>
        <w:spacing w:before="198"/>
      </w:pPr>
      <w:r>
        <w:rPr>
          <w:color w:val="424242"/>
          <w:spacing w:val="-2"/>
        </w:rPr>
        <w:t>EDUCATION</w:t>
      </w:r>
    </w:p>
    <w:p>
      <w:pPr>
        <w:pStyle w:val="Heading2"/>
        <w:spacing w:before="170"/>
      </w:pPr>
      <w:r>
        <w:rPr>
          <w:w w:val="105"/>
        </w:rPr>
        <w:t>AS,</w:t>
      </w:r>
      <w:r>
        <w:rPr>
          <w:spacing w:val="11"/>
          <w:w w:val="105"/>
        </w:rPr>
        <w:t> </w:t>
      </w:r>
      <w:r>
        <w:rPr>
          <w:w w:val="105"/>
        </w:rPr>
        <w:t>Healthcare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Administration</w:t>
      </w:r>
    </w:p>
    <w:p>
      <w:pPr>
        <w:pStyle w:val="BodyText"/>
        <w:spacing w:before="33"/>
        <w:ind w:left="164"/>
      </w:pPr>
      <w:r>
        <w:rPr>
          <w:w w:val="105"/>
        </w:rPr>
        <w:t>Umpqua</w:t>
      </w:r>
      <w:r>
        <w:rPr>
          <w:spacing w:val="11"/>
          <w:w w:val="105"/>
        </w:rPr>
        <w:t> </w:t>
      </w:r>
      <w:r>
        <w:rPr>
          <w:w w:val="105"/>
        </w:rPr>
        <w:t>Community</w:t>
      </w:r>
      <w:r>
        <w:rPr>
          <w:spacing w:val="12"/>
          <w:w w:val="105"/>
        </w:rPr>
        <w:t> </w:t>
      </w:r>
      <w:r>
        <w:rPr>
          <w:w w:val="105"/>
        </w:rPr>
        <w:t>College,</w:t>
      </w:r>
      <w:r>
        <w:rPr>
          <w:spacing w:val="11"/>
          <w:w w:val="105"/>
        </w:rPr>
        <w:t> </w:t>
      </w:r>
      <w:r>
        <w:rPr>
          <w:w w:val="105"/>
        </w:rPr>
        <w:t>Roseburg,</w:t>
      </w:r>
      <w:r>
        <w:rPr>
          <w:spacing w:val="12"/>
          <w:w w:val="105"/>
        </w:rPr>
        <w:t> </w:t>
      </w:r>
      <w:r>
        <w:rPr>
          <w:w w:val="105"/>
        </w:rPr>
        <w:t>OR</w:t>
      </w:r>
      <w:r>
        <w:rPr>
          <w:spacing w:val="12"/>
          <w:w w:val="105"/>
        </w:rPr>
        <w:t> </w:t>
      </w:r>
      <w:r>
        <w:rPr>
          <w:w w:val="105"/>
        </w:rPr>
        <w:t>|</w:t>
      </w:r>
      <w:r>
        <w:rPr>
          <w:spacing w:val="11"/>
          <w:w w:val="105"/>
        </w:rPr>
        <w:t> </w:t>
      </w:r>
      <w:r>
        <w:rPr>
          <w:w w:val="105"/>
        </w:rPr>
        <w:t>2021</w:t>
      </w:r>
      <w:r>
        <w:rPr>
          <w:spacing w:val="12"/>
          <w:w w:val="105"/>
        </w:rPr>
        <w:t> </w:t>
      </w:r>
      <w:r>
        <w:rPr>
          <w:w w:val="105"/>
        </w:rPr>
        <w:t>-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980" w:bottom="280" w:left="283" w:right="283"/>
      <w:cols w:num="2" w:equalWidth="0">
        <w:col w:w="3070" w:space="631"/>
        <w:col w:w="765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647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3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shira.ncube@example.com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2026-10-04T12:50:16Z</dcterms:created>
  <dcterms:modified xsi:type="dcterms:W3CDTF">2026-10-04T12:50:16Z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