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2"/>
        <w:rPr>
          <w:rFonts w:ascii="Times New Roman"/>
          <w:sz w:val="20"/>
        </w:rPr>
      </w:pPr>
    </w:p>
    <w:p>
      <w:pPr>
        <w:spacing w:line="240" w:lineRule="auto"/>
        <w:ind w:left="49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33550" cy="20669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spacing w:before="36"/>
        <w:rPr>
          <w:rFonts w:ascii="Times New Roman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2724149</wp:posOffset>
                </wp:positionH>
                <wp:positionV relativeFrom="paragraph">
                  <wp:posOffset>-2716518</wp:posOffset>
                </wp:positionV>
                <wp:extent cx="4844415" cy="23622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844415" cy="2362200"/>
                          <a:chExt cx="4844415" cy="23622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844415" cy="236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362200">
                                <a:moveTo>
                                  <a:pt x="4844033" y="2362199"/>
                                </a:moveTo>
                                <a:lnTo>
                                  <a:pt x="0" y="236219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362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844415" cy="2362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51"/>
                                <w:ind w:left="113" w:right="264" w:firstLine="0"/>
                                <w:jc w:val="center"/>
                                <w:rPr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74"/>
                                </w:rPr>
                                <w:t>Hana</w:t>
                              </w:r>
                              <w:r>
                                <w:rPr>
                                  <w:b/>
                                  <w:color w:val="FFFFFF"/>
                                  <w:spacing w:val="32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74"/>
                                </w:rPr>
                                <w:t>Ogden</w:t>
                              </w:r>
                            </w:p>
                            <w:p>
                              <w:pPr>
                                <w:spacing w:before="195"/>
                                <w:ind w:left="113" w:right="264" w:firstLine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2"/>
                                  <w:sz w:val="20"/>
                                </w:rPr>
                                <w:t>Healthcare</w:t>
                              </w:r>
                              <w:r>
                                <w:rPr>
                                  <w:b/>
                                  <w:color w:val="FFFFFF"/>
                                  <w:spacing w:val="4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20"/>
                                </w:rPr>
                                <w:t>Administrator</w:t>
                              </w:r>
                            </w:p>
                            <w:p>
                              <w:pPr>
                                <w:spacing w:line="240" w:lineRule="auto" w:before="28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4" w:right="253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Healthcare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administrator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12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years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experience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managing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operating</w:t>
                              </w:r>
                              <w:r>
                                <w:rPr>
                                  <w:color w:val="FFFFFF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budgets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up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to</w:t>
                              </w:r>
                            </w:p>
                            <w:p>
                              <w:pPr>
                                <w:spacing w:line="273" w:lineRule="auto" w:before="26"/>
                                <w:ind w:left="113" w:right="253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$8.2M across clinical and administrative departments, holding variance to plan within tight</w:t>
                              </w:r>
                              <w:r>
                                <w:rPr>
                                  <w:color w:val="FFFFFF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margins.</w:t>
                              </w:r>
                              <w:r>
                                <w:rPr>
                                  <w:color w:val="FFFFFF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Partnered</w:t>
                              </w:r>
                              <w:r>
                                <w:rPr>
                                  <w:color w:val="FFFFFF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executive</w:t>
                              </w:r>
                              <w:r>
                                <w:rPr>
                                  <w:color w:val="FFFFFF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leadership</w:t>
                              </w:r>
                              <w:r>
                                <w:rPr>
                                  <w:color w:val="FFFFFF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strategic</w:t>
                              </w:r>
                              <w:r>
                                <w:rPr>
                                  <w:color w:val="FFFFFF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growth</w:t>
                              </w:r>
                              <w:r>
                                <w:rPr>
                                  <w:color w:val="FFFFFF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initiatives</w:t>
                              </w:r>
                              <w:r>
                                <w:rPr>
                                  <w:color w:val="FFFFFF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>generated</w:t>
                              </w:r>
                            </w:p>
                            <w:p>
                              <w:pPr>
                                <w:spacing w:line="273" w:lineRule="auto" w:before="0"/>
                                <w:ind w:left="264" w:right="404" w:hanging="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$736,400 in new annual revenue through added specialty service lines. Credentialed as a</w:t>
                              </w:r>
                              <w:r>
                                <w:rPr>
                                  <w:color w:val="FFFFFF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Fellow of the American College of Healthcare Executives, with deep working knowledge of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EPIC Systems, JCAHO accreditation, and HIPAA compliance.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4.499969pt;margin-top:-213.899094pt;width:381.45pt;height:186pt;mso-position-horizontal-relative:page;mso-position-vertical-relative:paragraph;z-index:15729152" id="docshapegroup1" coordorigin="4290,-4278" coordsize="7629,3720">
                <v:rect style="position:absolute;left:4290;top:-4278;width:7629;height:3720" id="docshape2" filled="true" fillcolor="#0c5394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290;top:-4278;width:7629;height:3720" type="#_x0000_t202" id="docshape3" filled="false" stroked="false">
                  <v:textbox inset="0,0,0,0">
                    <w:txbxContent>
                      <w:p>
                        <w:pPr>
                          <w:spacing w:before="551"/>
                          <w:ind w:left="113" w:right="264" w:firstLine="0"/>
                          <w:jc w:val="center"/>
                          <w:rPr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0"/>
                            <w:sz w:val="74"/>
                          </w:rPr>
                          <w:t>Hana</w:t>
                        </w:r>
                        <w:r>
                          <w:rPr>
                            <w:b/>
                            <w:color w:val="FFFFFF"/>
                            <w:spacing w:val="32"/>
                            <w:sz w:val="74"/>
                          </w:rPr>
                          <w:t> </w:t>
                        </w:r>
                        <w:r>
                          <w:rPr>
                            <w:color w:val="FFFFFF"/>
                            <w:spacing w:val="9"/>
                            <w:sz w:val="74"/>
                          </w:rPr>
                          <w:t>Ogden</w:t>
                        </w:r>
                      </w:p>
                      <w:p>
                        <w:pPr>
                          <w:spacing w:before="195"/>
                          <w:ind w:left="113" w:right="264" w:firstLine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12"/>
                            <w:sz w:val="20"/>
                          </w:rPr>
                          <w:t>Healthcare</w:t>
                        </w:r>
                        <w:r>
                          <w:rPr>
                            <w:b/>
                            <w:color w:val="FFFFFF"/>
                            <w:spacing w:val="4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10"/>
                            <w:sz w:val="20"/>
                          </w:rPr>
                          <w:t>Administrator</w:t>
                        </w:r>
                      </w:p>
                      <w:p>
                        <w:pPr>
                          <w:spacing w:line="240" w:lineRule="auto" w:before="28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114" w:right="253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Healthcare</w:t>
                        </w:r>
                        <w:r>
                          <w:rPr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administrator</w:t>
                        </w:r>
                        <w:r>
                          <w:rPr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color w:val="FFFFFF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12</w:t>
                        </w:r>
                        <w:r>
                          <w:rPr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years</w:t>
                        </w:r>
                        <w:r>
                          <w:rPr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color w:val="FFFFFF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experience</w:t>
                        </w:r>
                        <w:r>
                          <w:rPr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managing</w:t>
                        </w:r>
                        <w:r>
                          <w:rPr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operating</w:t>
                        </w:r>
                        <w:r>
                          <w:rPr>
                            <w:color w:val="FFFFFF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budgets</w:t>
                        </w:r>
                        <w:r>
                          <w:rPr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up</w:t>
                        </w:r>
                        <w:r>
                          <w:rPr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to</w:t>
                        </w:r>
                      </w:p>
                      <w:p>
                        <w:pPr>
                          <w:spacing w:line="273" w:lineRule="auto" w:before="26"/>
                          <w:ind w:left="113" w:right="253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$8.2M across clinical and administrative departments, holding variance to plan within tight</w:t>
                        </w:r>
                        <w:r>
                          <w:rPr>
                            <w:color w:val="FFFFFF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margins.</w:t>
                        </w:r>
                        <w:r>
                          <w:rPr>
                            <w:color w:val="FFFFFF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Partnered</w:t>
                        </w:r>
                        <w:r>
                          <w:rPr>
                            <w:color w:val="FFFFFF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color w:val="FFFFFF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executive</w:t>
                        </w:r>
                        <w:r>
                          <w:rPr>
                            <w:color w:val="FFFFFF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leadership</w:t>
                        </w:r>
                        <w:r>
                          <w:rPr>
                            <w:color w:val="FFFFFF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color w:val="FFFFFF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strategic</w:t>
                        </w:r>
                        <w:r>
                          <w:rPr>
                            <w:color w:val="FFFFFF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growth</w:t>
                        </w:r>
                        <w:r>
                          <w:rPr>
                            <w:color w:val="FFFFFF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initiatives</w:t>
                        </w:r>
                        <w:r>
                          <w:rPr>
                            <w:color w:val="FFFFFF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that</w:t>
                        </w:r>
                        <w:r>
                          <w:rPr>
                            <w:color w:val="FFFFFF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6"/>
                          </w:rPr>
                          <w:t>generated</w:t>
                        </w:r>
                      </w:p>
                      <w:p>
                        <w:pPr>
                          <w:spacing w:line="273" w:lineRule="auto" w:before="0"/>
                          <w:ind w:left="264" w:right="404" w:hanging="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$736,400 in new annual revenue through added specialty service lines. Credentialed as a</w:t>
                        </w:r>
                        <w:r>
                          <w:rPr>
                            <w:color w:val="FFFFFF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Fellow of the American College of Healthcare Executives, with deep working knowledge of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EPIC Systems, JCAHO accreditation, and HIPAA compliance.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79"/>
        <w:ind w:left="272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</w:rPr>
        <w:t>(928) 555-0132</w:t>
      </w:r>
    </w:p>
    <w:p>
      <w:pPr>
        <w:pStyle w:val="BodyText"/>
        <w:spacing w:line="352" w:lineRule="auto" w:before="149"/>
        <w:ind w:left="273" w:right="248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71"/>
          <w:w w:val="105"/>
          <w:sz w:val="20"/>
        </w:rPr>
        <w:t> </w:t>
      </w:r>
      <w:hyperlink r:id="rId8">
        <w:r>
          <w:rPr>
            <w:color w:val="FFFFFF"/>
            <w:w w:val="105"/>
          </w:rPr>
          <w:t>hana.ogden@example.com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Prescott, AZ 12345</w:t>
      </w:r>
    </w:p>
    <w:p>
      <w:pPr>
        <w:pStyle w:val="Heading1"/>
        <w:spacing w:before="94"/>
      </w:pPr>
      <w:r>
        <w:rPr>
          <w:smallCaps/>
          <w:color w:val="FFFFFF"/>
          <w:spacing w:val="-2"/>
          <w:w w:val="105"/>
        </w:rPr>
        <w:t>Education</w:t>
      </w:r>
    </w:p>
    <w:p>
      <w:pPr>
        <w:tabs>
          <w:tab w:pos="572" w:val="left" w:leader="none"/>
        </w:tabs>
        <w:spacing w:line="273" w:lineRule="auto" w:before="174"/>
        <w:ind w:left="572" w:right="83" w:hanging="301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w w:val="105"/>
          <w:sz w:val="18"/>
        </w:rPr>
        <w:t>MS IN HEALTH CARE </w:t>
      </w:r>
      <w:r>
        <w:rPr>
          <w:b/>
          <w:color w:val="FFFFFF"/>
          <w:sz w:val="18"/>
        </w:rPr>
        <w:t>ADMINISTRATION AND POLICY | </w:t>
      </w:r>
      <w:r>
        <w:rPr>
          <w:b/>
          <w:color w:val="FFFFFF"/>
          <w:w w:val="105"/>
          <w:sz w:val="18"/>
        </w:rPr>
        <w:t>ARIZONA STATE UNIVERSITY, TEMPE, AZ | 2012 - 2014</w:t>
      </w:r>
    </w:p>
    <w:p>
      <w:pPr>
        <w:tabs>
          <w:tab w:pos="572" w:val="left" w:leader="none"/>
        </w:tabs>
        <w:spacing w:line="273" w:lineRule="auto" w:before="122"/>
        <w:ind w:left="572" w:right="21" w:hanging="301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w w:val="105"/>
          <w:sz w:val="18"/>
        </w:rPr>
        <w:t>BACHELOR OF SCIENCE IN </w:t>
      </w:r>
      <w:r>
        <w:rPr>
          <w:b/>
          <w:color w:val="FFFFFF"/>
          <w:spacing w:val="-2"/>
          <w:w w:val="105"/>
          <w:sz w:val="18"/>
        </w:rPr>
        <w:t>HEALTH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SCIENCES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|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NORTHERN </w:t>
      </w:r>
      <w:r>
        <w:rPr>
          <w:b/>
          <w:color w:val="FFFFFF"/>
          <w:w w:val="105"/>
          <w:sz w:val="18"/>
        </w:rPr>
        <w:t>ARIZONA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UNIVERSITY, FLAGSTAFF, AZ | 2008 - 2012</w:t>
      </w:r>
    </w:p>
    <w:p>
      <w:pPr>
        <w:pStyle w:val="BodyText"/>
        <w:spacing w:before="26"/>
        <w:rPr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tabs>
          <w:tab w:pos="572" w:val="left" w:leader="none"/>
        </w:tabs>
        <w:spacing w:before="175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Operating</w:t>
      </w:r>
      <w:r>
        <w:rPr>
          <w:b/>
          <w:color w:val="FFFFFF"/>
          <w:spacing w:val="16"/>
          <w:sz w:val="18"/>
        </w:rPr>
        <w:t> </w:t>
      </w:r>
      <w:r>
        <w:rPr>
          <w:b/>
          <w:color w:val="FFFFFF"/>
          <w:sz w:val="18"/>
        </w:rPr>
        <w:t>Budget</w:t>
      </w:r>
      <w:r>
        <w:rPr>
          <w:b/>
          <w:color w:val="FFFFFF"/>
          <w:spacing w:val="17"/>
          <w:sz w:val="18"/>
        </w:rPr>
        <w:t> </w:t>
      </w:r>
      <w:r>
        <w:rPr>
          <w:b/>
          <w:color w:val="FFFFFF"/>
          <w:spacing w:val="-2"/>
          <w:sz w:val="18"/>
        </w:rPr>
        <w:t>Management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Strategic</w:t>
      </w:r>
      <w:r>
        <w:rPr>
          <w:b/>
          <w:color w:val="FFFFFF"/>
          <w:spacing w:val="16"/>
          <w:sz w:val="18"/>
        </w:rPr>
        <w:t> </w:t>
      </w:r>
      <w:r>
        <w:rPr>
          <w:b/>
          <w:color w:val="FFFFFF"/>
          <w:spacing w:val="-2"/>
          <w:sz w:val="18"/>
        </w:rPr>
        <w:t>Planning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HIPAA</w:t>
      </w:r>
      <w:r>
        <w:rPr>
          <w:b/>
          <w:color w:val="FFFFFF"/>
          <w:spacing w:val="-7"/>
          <w:sz w:val="18"/>
        </w:rPr>
        <w:t> </w:t>
      </w:r>
      <w:r>
        <w:rPr>
          <w:b/>
          <w:color w:val="FFFFFF"/>
          <w:spacing w:val="-2"/>
          <w:sz w:val="18"/>
        </w:rPr>
        <w:t>Compliance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JCAHO</w:t>
      </w:r>
      <w:r>
        <w:rPr>
          <w:b/>
          <w:color w:val="FFFFFF"/>
          <w:spacing w:val="8"/>
          <w:sz w:val="18"/>
        </w:rPr>
        <w:t> </w:t>
      </w:r>
      <w:r>
        <w:rPr>
          <w:b/>
          <w:color w:val="FFFFFF"/>
          <w:spacing w:val="-2"/>
          <w:sz w:val="18"/>
        </w:rPr>
        <w:t>Accreditation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w w:val="105"/>
          <w:sz w:val="18"/>
        </w:rPr>
        <w:t>EPIC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Systems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Microsoft</w:t>
      </w:r>
      <w:r>
        <w:rPr>
          <w:b/>
          <w:color w:val="FFFFFF"/>
          <w:spacing w:val="17"/>
          <w:sz w:val="18"/>
        </w:rPr>
        <w:t> </w:t>
      </w:r>
      <w:r>
        <w:rPr>
          <w:b/>
          <w:color w:val="FFFFFF"/>
          <w:spacing w:val="-2"/>
          <w:sz w:val="18"/>
        </w:rPr>
        <w:t>Excel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Revenue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z w:val="18"/>
        </w:rPr>
        <w:t>Cycle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pacing w:val="-2"/>
          <w:sz w:val="18"/>
        </w:rPr>
        <w:t>Oversight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Departmental</w:t>
      </w:r>
      <w:r>
        <w:rPr>
          <w:b/>
          <w:color w:val="FFFFFF"/>
          <w:spacing w:val="20"/>
          <w:sz w:val="18"/>
        </w:rPr>
        <w:t> </w:t>
      </w:r>
      <w:r>
        <w:rPr>
          <w:b/>
          <w:color w:val="FFFFFF"/>
          <w:sz w:val="18"/>
        </w:rPr>
        <w:t>Financial</w:t>
      </w:r>
      <w:r>
        <w:rPr>
          <w:b/>
          <w:color w:val="FFFFFF"/>
          <w:spacing w:val="20"/>
          <w:sz w:val="18"/>
        </w:rPr>
        <w:t> </w:t>
      </w:r>
      <w:r>
        <w:rPr>
          <w:b/>
          <w:color w:val="FFFFFF"/>
          <w:spacing w:val="-2"/>
          <w:sz w:val="18"/>
        </w:rPr>
        <w:t>Reporting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Capacity</w:t>
      </w:r>
      <w:r>
        <w:rPr>
          <w:b/>
          <w:color w:val="FFFFFF"/>
          <w:spacing w:val="16"/>
          <w:sz w:val="18"/>
        </w:rPr>
        <w:t> </w:t>
      </w:r>
      <w:r>
        <w:rPr>
          <w:b/>
          <w:color w:val="FFFFFF"/>
          <w:spacing w:val="-2"/>
          <w:sz w:val="18"/>
        </w:rPr>
        <w:t>Planning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w w:val="105"/>
          <w:sz w:val="18"/>
        </w:rPr>
        <w:t>KPI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Development</w:t>
      </w:r>
    </w:p>
    <w:p>
      <w:pPr>
        <w:pStyle w:val="Heading1"/>
        <w:spacing w:line="227" w:lineRule="exact"/>
      </w:pPr>
      <w:r>
        <w:rPr>
          <w:b w:val="0"/>
        </w:rPr>
        <w:br w:type="column"/>
      </w:r>
      <w:r>
        <w:rPr>
          <w:smallCaps/>
          <w:color w:val="0C5394"/>
          <w:spacing w:val="2"/>
        </w:rPr>
        <w:t>Professional</w:t>
      </w:r>
      <w:r>
        <w:rPr>
          <w:smallCaps/>
          <w:color w:val="0C5394"/>
          <w:spacing w:val="55"/>
        </w:rPr>
        <w:t> </w:t>
      </w:r>
      <w:r>
        <w:rPr>
          <w:smallCaps/>
          <w:color w:val="0C5394"/>
          <w:spacing w:val="-2"/>
        </w:rPr>
        <w:t>experience</w:t>
      </w:r>
    </w:p>
    <w:p>
      <w:pPr>
        <w:pStyle w:val="BodyText"/>
        <w:spacing w:line="278" w:lineRule="auto" w:before="159"/>
        <w:ind w:left="33" w:right="537"/>
      </w:pPr>
      <w:r>
        <w:rPr/>
        <w:t>HEALTHCARE ADMINISTRATOR | GRANITE CREEK COMMUNITY HEALTH </w:t>
      </w:r>
      <w:r>
        <w:rPr>
          <w:w w:val="105"/>
        </w:rPr>
        <w:t>CENTER, PRESCOTT,</w:t>
      </w:r>
      <w:r>
        <w:rPr>
          <w:spacing w:val="-4"/>
          <w:w w:val="105"/>
        </w:rPr>
        <w:t> </w:t>
      </w:r>
      <w:r>
        <w:rPr>
          <w:w w:val="105"/>
        </w:rPr>
        <w:t>AZ | 2019 - PRESENT</w:t>
      </w:r>
    </w:p>
    <w:p>
      <w:pPr>
        <w:pStyle w:val="BodyText"/>
        <w:spacing w:before="18"/>
      </w:pPr>
    </w:p>
    <w:p>
      <w:pPr>
        <w:pStyle w:val="BodyText"/>
        <w:tabs>
          <w:tab w:pos="609" w:val="left" w:leader="none"/>
        </w:tabs>
        <w:spacing w:line="268" w:lineRule="auto"/>
        <w:ind w:left="609" w:right="1686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Managed a $8.2M annual operating budget across 4 clinical departments,</w:t>
      </w:r>
      <w:r>
        <w:rPr>
          <w:spacing w:val="-4"/>
          <w:w w:val="105"/>
        </w:rPr>
        <w:t> </w:t>
      </w:r>
      <w:r>
        <w:rPr>
          <w:w w:val="105"/>
        </w:rPr>
        <w:t>holding</w:t>
      </w:r>
      <w:r>
        <w:rPr>
          <w:spacing w:val="-4"/>
          <w:w w:val="105"/>
        </w:rPr>
        <w:t> </w:t>
      </w:r>
      <w:r>
        <w:rPr>
          <w:w w:val="105"/>
        </w:rPr>
        <w:t>budget</w:t>
      </w:r>
      <w:r>
        <w:rPr>
          <w:spacing w:val="-4"/>
          <w:w w:val="105"/>
        </w:rPr>
        <w:t> </w:t>
      </w:r>
      <w:r>
        <w:rPr>
          <w:w w:val="105"/>
        </w:rPr>
        <w:t>variance</w:t>
      </w:r>
      <w:r>
        <w:rPr>
          <w:spacing w:val="-4"/>
          <w:w w:val="105"/>
        </w:rPr>
        <w:t> </w:t>
      </w:r>
      <w:r>
        <w:rPr>
          <w:w w:val="105"/>
        </w:rPr>
        <w:t>from</w:t>
      </w:r>
      <w:r>
        <w:rPr>
          <w:spacing w:val="-4"/>
          <w:w w:val="105"/>
        </w:rPr>
        <w:t> </w:t>
      </w:r>
      <w:r>
        <w:rPr>
          <w:w w:val="105"/>
        </w:rPr>
        <w:t>plan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2.5%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4 consecutive ﬁscal years.</w:t>
      </w:r>
    </w:p>
    <w:p>
      <w:pPr>
        <w:pStyle w:val="BodyText"/>
        <w:tabs>
          <w:tab w:pos="609" w:val="left" w:leader="none"/>
        </w:tabs>
        <w:spacing w:line="268" w:lineRule="auto" w:before="100"/>
        <w:ind w:left="609" w:right="763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Restructured</w:t>
      </w:r>
      <w:r>
        <w:rPr>
          <w:spacing w:val="-2"/>
          <w:w w:val="105"/>
        </w:rPr>
        <w:t> </w:t>
      </w:r>
      <w:r>
        <w:rPr>
          <w:w w:val="105"/>
        </w:rPr>
        <w:t>provider</w:t>
      </w:r>
      <w:r>
        <w:rPr>
          <w:spacing w:val="-2"/>
          <w:w w:val="105"/>
        </w:rPr>
        <w:t> </w:t>
      </w:r>
      <w:r>
        <w:rPr>
          <w:w w:val="105"/>
        </w:rPr>
        <w:t>scheduling</w:t>
      </w:r>
      <w:r>
        <w:rPr>
          <w:spacing w:val="-2"/>
          <w:w w:val="105"/>
        </w:rPr>
        <w:t> </w:t>
      </w:r>
      <w:r>
        <w:rPr>
          <w:w w:val="105"/>
        </w:rPr>
        <w:t>templates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extended</w:t>
      </w:r>
      <w:r>
        <w:rPr>
          <w:spacing w:val="-2"/>
          <w:w w:val="105"/>
        </w:rPr>
        <w:t> </w:t>
      </w:r>
      <w:r>
        <w:rPr>
          <w:w w:val="105"/>
        </w:rPr>
        <w:t>evening</w:t>
      </w:r>
      <w:r>
        <w:rPr>
          <w:spacing w:val="-2"/>
          <w:w w:val="105"/>
        </w:rPr>
        <w:t> </w:t>
      </w:r>
      <w:r>
        <w:rPr>
          <w:w w:val="105"/>
        </w:rPr>
        <w:t>clinic hours, increasing patient appointment availability by 29 open slots per </w:t>
      </w:r>
      <w:r>
        <w:rPr>
          <w:spacing w:val="-2"/>
          <w:w w:val="105"/>
        </w:rPr>
        <w:t>week.</w:t>
      </w:r>
    </w:p>
    <w:p>
      <w:pPr>
        <w:pStyle w:val="BodyText"/>
        <w:tabs>
          <w:tab w:pos="609" w:val="left" w:leader="none"/>
        </w:tabs>
        <w:spacing w:line="268" w:lineRule="auto" w:before="99"/>
        <w:ind w:left="609" w:right="791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Partnered</w:t>
      </w:r>
      <w:r>
        <w:rPr>
          <w:spacing w:val="-7"/>
          <w:w w:val="105"/>
        </w:rPr>
        <w:t> </w:t>
      </w:r>
      <w:r>
        <w:rPr>
          <w:w w:val="105"/>
        </w:rPr>
        <w:t>with</w:t>
      </w:r>
      <w:r>
        <w:rPr>
          <w:spacing w:val="-7"/>
          <w:w w:val="105"/>
        </w:rPr>
        <w:t> </w:t>
      </w:r>
      <w:r>
        <w:rPr>
          <w:w w:val="105"/>
        </w:rPr>
        <w:t>executive</w:t>
      </w:r>
      <w:r>
        <w:rPr>
          <w:spacing w:val="-7"/>
          <w:w w:val="105"/>
        </w:rPr>
        <w:t> </w:t>
      </w:r>
      <w:r>
        <w:rPr>
          <w:w w:val="105"/>
        </w:rPr>
        <w:t>leadership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develop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3-year</w:t>
      </w:r>
      <w:r>
        <w:rPr>
          <w:spacing w:val="-7"/>
          <w:w w:val="105"/>
        </w:rPr>
        <w:t> </w:t>
      </w:r>
      <w:r>
        <w:rPr>
          <w:w w:val="105"/>
        </w:rPr>
        <w:t>strategic</w:t>
      </w:r>
      <w:r>
        <w:rPr>
          <w:spacing w:val="-7"/>
          <w:w w:val="105"/>
        </w:rPr>
        <w:t> </w:t>
      </w:r>
      <w:r>
        <w:rPr>
          <w:w w:val="105"/>
        </w:rPr>
        <w:t>growth plan, adding 2 specialty service lines that generated $736,400 in new annual revenue.</w:t>
      </w:r>
    </w:p>
    <w:p>
      <w:pPr>
        <w:pStyle w:val="BodyText"/>
        <w:tabs>
          <w:tab w:pos="609" w:val="left" w:leader="none"/>
        </w:tabs>
        <w:spacing w:line="268" w:lineRule="auto" w:before="100"/>
        <w:ind w:left="609" w:right="715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Directed monthly ﬁnancial reviews in Microsoft Excel comparing departmental spending against plan, identifying and correcting variances within 5 business days.</w:t>
      </w: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line="278" w:lineRule="auto"/>
        <w:ind w:left="33"/>
      </w:pPr>
      <w:r>
        <w:rPr/>
        <w:t>ASSISTANT ADMINISTRATOR | MINGUS VALLEY MEDICAL</w:t>
      </w:r>
      <w:r>
        <w:rPr>
          <w:spacing w:val="-4"/>
        </w:rPr>
        <w:t> </w:t>
      </w:r>
      <w:r>
        <w:rPr/>
        <w:t>ASSOCIATES, </w:t>
      </w:r>
      <w:r>
        <w:rPr>
          <w:w w:val="105"/>
        </w:rPr>
        <w:t>COTTONWOOD, AZ | 2016 - 2019</w:t>
      </w:r>
    </w:p>
    <w:p>
      <w:pPr>
        <w:pStyle w:val="BodyText"/>
        <w:spacing w:before="18"/>
      </w:pPr>
    </w:p>
    <w:p>
      <w:pPr>
        <w:pStyle w:val="BodyText"/>
        <w:tabs>
          <w:tab w:pos="609" w:val="left" w:leader="none"/>
        </w:tabs>
        <w:spacing w:line="278" w:lineRule="auto"/>
        <w:ind w:left="609" w:right="1208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Oversaw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$6.9M</w:t>
      </w:r>
      <w:r>
        <w:rPr>
          <w:spacing w:val="-7"/>
          <w:w w:val="105"/>
        </w:rPr>
        <w:t> </w:t>
      </w:r>
      <w:r>
        <w:rPr>
          <w:w w:val="105"/>
        </w:rPr>
        <w:t>annual</w:t>
      </w:r>
      <w:r>
        <w:rPr>
          <w:spacing w:val="-7"/>
          <w:w w:val="105"/>
        </w:rPr>
        <w:t> </w:t>
      </w:r>
      <w:r>
        <w:rPr>
          <w:w w:val="105"/>
        </w:rPr>
        <w:t>operating</w:t>
      </w:r>
      <w:r>
        <w:rPr>
          <w:spacing w:val="-7"/>
          <w:w w:val="105"/>
        </w:rPr>
        <w:t> </w:t>
      </w:r>
      <w:r>
        <w:rPr>
          <w:w w:val="105"/>
        </w:rPr>
        <w:t>budget</w:t>
      </w:r>
      <w:r>
        <w:rPr>
          <w:spacing w:val="-7"/>
          <w:w w:val="105"/>
        </w:rPr>
        <w:t> </w:t>
      </w:r>
      <w:r>
        <w:rPr>
          <w:w w:val="105"/>
        </w:rPr>
        <w:t>for</w:t>
      </w:r>
      <w:r>
        <w:rPr>
          <w:spacing w:val="-7"/>
          <w:w w:val="105"/>
        </w:rPr>
        <w:t> </w:t>
      </w:r>
      <w:r>
        <w:rPr>
          <w:w w:val="105"/>
        </w:rPr>
        <w:t>ambulatory</w:t>
      </w:r>
      <w:r>
        <w:rPr>
          <w:spacing w:val="-7"/>
          <w:w w:val="105"/>
        </w:rPr>
        <w:t> </w:t>
      </w:r>
      <w:r>
        <w:rPr>
          <w:w w:val="105"/>
        </w:rPr>
        <w:t>services, ﬁnishing each ﬁscal year within 3.7% of the approved plan.</w:t>
      </w:r>
    </w:p>
    <w:p>
      <w:pPr>
        <w:pStyle w:val="BodyText"/>
        <w:tabs>
          <w:tab w:pos="609" w:val="left" w:leader="none"/>
        </w:tabs>
        <w:spacing w:line="268" w:lineRule="auto" w:before="90"/>
        <w:ind w:left="609" w:right="832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Expanded</w:t>
      </w:r>
      <w:r>
        <w:rPr>
          <w:spacing w:val="-5"/>
          <w:w w:val="105"/>
        </w:rPr>
        <w:t> </w:t>
      </w:r>
      <w:r>
        <w:rPr>
          <w:w w:val="105"/>
        </w:rPr>
        <w:t>same-day</w:t>
      </w:r>
      <w:r>
        <w:rPr>
          <w:spacing w:val="-5"/>
          <w:w w:val="105"/>
        </w:rPr>
        <w:t> </w:t>
      </w:r>
      <w:r>
        <w:rPr>
          <w:w w:val="105"/>
        </w:rPr>
        <w:t>appointment</w:t>
      </w:r>
      <w:r>
        <w:rPr>
          <w:spacing w:val="-5"/>
          <w:w w:val="105"/>
        </w:rPr>
        <w:t> </w:t>
      </w:r>
      <w:r>
        <w:rPr>
          <w:w w:val="105"/>
        </w:rPr>
        <w:t>capacity</w:t>
      </w:r>
      <w:r>
        <w:rPr>
          <w:spacing w:val="-5"/>
          <w:w w:val="105"/>
        </w:rPr>
        <w:t> </w:t>
      </w:r>
      <w:r>
        <w:rPr>
          <w:w w:val="105"/>
        </w:rPr>
        <w:t>from</w:t>
      </w:r>
      <w:r>
        <w:rPr>
          <w:spacing w:val="-5"/>
          <w:w w:val="105"/>
        </w:rPr>
        <w:t> </w:t>
      </w:r>
      <w:r>
        <w:rPr>
          <w:w w:val="105"/>
        </w:rPr>
        <w:t>14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37</w:t>
      </w:r>
      <w:r>
        <w:rPr>
          <w:spacing w:val="-5"/>
          <w:w w:val="105"/>
        </w:rPr>
        <w:t> </w:t>
      </w:r>
      <w:r>
        <w:rPr>
          <w:w w:val="105"/>
        </w:rPr>
        <w:t>slots</w:t>
      </w:r>
      <w:r>
        <w:rPr>
          <w:spacing w:val="-5"/>
          <w:w w:val="105"/>
        </w:rPr>
        <w:t> </w:t>
      </w: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w w:val="105"/>
        </w:rPr>
        <w:t>week by reallocating exam room assignments and adjusting provider shift </w:t>
      </w:r>
      <w:r>
        <w:rPr>
          <w:spacing w:val="-2"/>
          <w:w w:val="105"/>
        </w:rPr>
        <w:t>blocks.</w:t>
      </w:r>
    </w:p>
    <w:p>
      <w:pPr>
        <w:pStyle w:val="BodyText"/>
        <w:tabs>
          <w:tab w:pos="609" w:val="left" w:leader="none"/>
        </w:tabs>
        <w:spacing w:line="261" w:lineRule="auto" w:before="99"/>
        <w:ind w:left="609" w:right="1025" w:hanging="297"/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Prepared</w:t>
      </w:r>
      <w:r>
        <w:rPr>
          <w:spacing w:val="-4"/>
          <w:w w:val="105"/>
        </w:rPr>
        <w:t> </w:t>
      </w:r>
      <w:r>
        <w:rPr>
          <w:w w:val="105"/>
        </w:rPr>
        <w:t>quarterly</w:t>
      </w:r>
      <w:r>
        <w:rPr>
          <w:spacing w:val="-4"/>
          <w:w w:val="105"/>
        </w:rPr>
        <w:t> </w:t>
      </w:r>
      <w:r>
        <w:rPr>
          <w:w w:val="105"/>
        </w:rPr>
        <w:t>budget-to-actual</w:t>
      </w:r>
      <w:r>
        <w:rPr>
          <w:spacing w:val="-4"/>
          <w:w w:val="105"/>
        </w:rPr>
        <w:t> </w:t>
      </w:r>
      <w:r>
        <w:rPr>
          <w:w w:val="105"/>
        </w:rPr>
        <w:t>reports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board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directors, tracking 24 line items across clinical and administrative cost centers.</w:t>
      </w:r>
    </w:p>
    <w:p>
      <w:pPr>
        <w:pStyle w:val="BodyText"/>
        <w:tabs>
          <w:tab w:pos="609" w:val="left" w:leader="none"/>
        </w:tabs>
        <w:spacing w:line="261" w:lineRule="auto" w:before="104"/>
        <w:ind w:left="609" w:right="953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Coordinated</w:t>
      </w:r>
      <w:r>
        <w:rPr>
          <w:spacing w:val="-7"/>
          <w:w w:val="105"/>
        </w:rPr>
        <w:t> </w:t>
      </w:r>
      <w:r>
        <w:rPr>
          <w:w w:val="105"/>
        </w:rPr>
        <w:t>JCAHO</w:t>
      </w:r>
      <w:r>
        <w:rPr>
          <w:spacing w:val="-7"/>
          <w:w w:val="105"/>
        </w:rPr>
        <w:t> </w:t>
      </w:r>
      <w:r>
        <w:rPr>
          <w:w w:val="105"/>
        </w:rPr>
        <w:t>accreditation</w:t>
      </w:r>
      <w:r>
        <w:rPr>
          <w:spacing w:val="-7"/>
          <w:w w:val="105"/>
        </w:rPr>
        <w:t> </w:t>
      </w:r>
      <w:r>
        <w:rPr>
          <w:w w:val="105"/>
        </w:rPr>
        <w:t>preparations</w:t>
      </w:r>
      <w:r>
        <w:rPr>
          <w:spacing w:val="-7"/>
          <w:w w:val="105"/>
        </w:rPr>
        <w:t> </w:t>
      </w:r>
      <w:r>
        <w:rPr>
          <w:w w:val="105"/>
        </w:rPr>
        <w:t>across</w:t>
      </w:r>
      <w:r>
        <w:rPr>
          <w:spacing w:val="-7"/>
          <w:w w:val="105"/>
        </w:rPr>
        <w:t> </w:t>
      </w:r>
      <w:r>
        <w:rPr>
          <w:w w:val="105"/>
        </w:rPr>
        <w:t>3</w:t>
      </w:r>
      <w:r>
        <w:rPr>
          <w:spacing w:val="-7"/>
          <w:w w:val="105"/>
        </w:rPr>
        <w:t> </w:t>
      </w:r>
      <w:r>
        <w:rPr>
          <w:w w:val="105"/>
        </w:rPr>
        <w:t>departments, organizing document reviews and mock surveys over a 6-week cycle.</w:t>
      </w: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spacing w:line="278" w:lineRule="auto"/>
        <w:ind w:left="33" w:right="537"/>
      </w:pPr>
      <w:r>
        <w:rPr/>
        <w:t>OPERATIONS COORDINATOR | AGUA FRIA VALLEY FAMILY PRACTICE, </w:t>
      </w:r>
      <w:r>
        <w:rPr>
          <w:w w:val="105"/>
        </w:rPr>
        <w:t>DEWEY, AZ | 2014 - 2016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0" w:bottom="0" w:left="283" w:right="0"/>
          <w:cols w:num="2" w:equalWidth="0">
            <w:col w:w="3547" w:space="656"/>
            <w:col w:w="7434"/>
          </w:cols>
        </w:sectPr>
      </w:pPr>
    </w:p>
    <w:p>
      <w:pPr>
        <w:pStyle w:val="BodyText"/>
        <w:spacing w:before="3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10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5440" id="docshape4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tabs>
          <w:tab w:pos="4812" w:val="left" w:leader="none"/>
        </w:tabs>
        <w:spacing w:line="268" w:lineRule="auto"/>
        <w:ind w:left="4813" w:right="725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Tracked</w:t>
      </w:r>
      <w:r>
        <w:rPr>
          <w:spacing w:val="-9"/>
          <w:w w:val="105"/>
        </w:rPr>
        <w:t> </w:t>
      </w:r>
      <w:r>
        <w:rPr>
          <w:w w:val="105"/>
        </w:rPr>
        <w:t>monthly</w:t>
      </w:r>
      <w:r>
        <w:rPr>
          <w:spacing w:val="-9"/>
          <w:w w:val="105"/>
        </w:rPr>
        <w:t> </w:t>
      </w:r>
      <w:r>
        <w:rPr>
          <w:w w:val="105"/>
        </w:rPr>
        <w:t>expenditures</w:t>
      </w:r>
      <w:r>
        <w:rPr>
          <w:spacing w:val="-9"/>
          <w:w w:val="105"/>
        </w:rPr>
        <w:t> </w:t>
      </w:r>
      <w:r>
        <w:rPr>
          <w:w w:val="105"/>
        </w:rPr>
        <w:t>against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$2.67M</w:t>
      </w:r>
      <w:r>
        <w:rPr>
          <w:spacing w:val="-9"/>
          <w:w w:val="105"/>
        </w:rPr>
        <w:t> </w:t>
      </w:r>
      <w:r>
        <w:rPr>
          <w:w w:val="105"/>
        </w:rPr>
        <w:t>annual</w:t>
      </w:r>
      <w:r>
        <w:rPr>
          <w:spacing w:val="-9"/>
          <w:w w:val="105"/>
        </w:rPr>
        <w:t> </w:t>
      </w:r>
      <w:r>
        <w:rPr>
          <w:w w:val="105"/>
        </w:rPr>
        <w:t>operating</w:t>
      </w:r>
      <w:r>
        <w:rPr>
          <w:spacing w:val="-9"/>
          <w:w w:val="105"/>
        </w:rPr>
        <w:t> </w:t>
      </w:r>
      <w:r>
        <w:rPr>
          <w:w w:val="105"/>
        </w:rPr>
        <w:t>budget in EPIC and Microsoft Excel, ﬂagging line items exceeding plan by more than $3,750.</w:t>
      </w:r>
    </w:p>
    <w:p>
      <w:pPr>
        <w:pStyle w:val="BodyText"/>
        <w:tabs>
          <w:tab w:pos="4812" w:val="left" w:leader="none"/>
        </w:tabs>
        <w:spacing w:line="268" w:lineRule="auto" w:before="99"/>
        <w:ind w:left="4813" w:right="743" w:hanging="297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Opened</w:t>
      </w:r>
      <w:r>
        <w:rPr>
          <w:spacing w:val="-5"/>
          <w:w w:val="105"/>
        </w:rPr>
        <w:t> </w:t>
      </w:r>
      <w:r>
        <w:rPr>
          <w:w w:val="105"/>
        </w:rPr>
        <w:t>18</w:t>
      </w:r>
      <w:r>
        <w:rPr>
          <w:spacing w:val="-5"/>
          <w:w w:val="105"/>
        </w:rPr>
        <w:t> </w:t>
      </w:r>
      <w:r>
        <w:rPr>
          <w:w w:val="105"/>
        </w:rPr>
        <w:t>new</w:t>
      </w:r>
      <w:r>
        <w:rPr>
          <w:spacing w:val="-5"/>
          <w:w w:val="105"/>
        </w:rPr>
        <w:t> </w:t>
      </w:r>
      <w:r>
        <w:rPr>
          <w:w w:val="105"/>
        </w:rPr>
        <w:t>patient</w:t>
      </w:r>
      <w:r>
        <w:rPr>
          <w:spacing w:val="-5"/>
          <w:w w:val="105"/>
        </w:rPr>
        <w:t> </w:t>
      </w:r>
      <w:r>
        <w:rPr>
          <w:w w:val="105"/>
        </w:rPr>
        <w:t>appointment</w:t>
      </w:r>
      <w:r>
        <w:rPr>
          <w:spacing w:val="-5"/>
          <w:w w:val="105"/>
        </w:rPr>
        <w:t> </w:t>
      </w:r>
      <w:r>
        <w:rPr>
          <w:w w:val="105"/>
        </w:rPr>
        <w:t>slots</w:t>
      </w:r>
      <w:r>
        <w:rPr>
          <w:spacing w:val="-5"/>
          <w:w w:val="105"/>
        </w:rPr>
        <w:t> </w:t>
      </w: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w w:val="105"/>
        </w:rPr>
        <w:t>week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5"/>
          <w:w w:val="105"/>
        </w:rPr>
        <w:t> </w:t>
      </w:r>
      <w:r>
        <w:rPr>
          <w:w w:val="105"/>
        </w:rPr>
        <w:t>redesigning</w:t>
      </w:r>
      <w:r>
        <w:rPr>
          <w:spacing w:val="-5"/>
          <w:w w:val="105"/>
        </w:rPr>
        <w:t> </w:t>
      </w:r>
      <w:r>
        <w:rPr>
          <w:w w:val="105"/>
        </w:rPr>
        <w:t>front-desk intake workﬂows and reducing average check-in time from 14 minutes to 8 minutes.</w:t>
      </w:r>
    </w:p>
    <w:p>
      <w:pPr>
        <w:pStyle w:val="BodyText"/>
        <w:tabs>
          <w:tab w:pos="4812" w:val="left" w:leader="none"/>
        </w:tabs>
        <w:spacing w:line="278" w:lineRule="auto" w:before="85"/>
        <w:ind w:left="4813" w:right="1228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Maintained</w:t>
      </w:r>
      <w:r>
        <w:rPr>
          <w:spacing w:val="-13"/>
          <w:w w:val="105"/>
        </w:rPr>
        <w:t> </w:t>
      </w:r>
      <w:r>
        <w:rPr>
          <w:w w:val="105"/>
        </w:rPr>
        <w:t>HIPAA-compliant</w:t>
      </w:r>
      <w:r>
        <w:rPr>
          <w:spacing w:val="-13"/>
          <w:w w:val="105"/>
        </w:rPr>
        <w:t> </w:t>
      </w:r>
      <w:r>
        <w:rPr>
          <w:w w:val="105"/>
        </w:rPr>
        <w:t>records</w:t>
      </w:r>
      <w:r>
        <w:rPr>
          <w:spacing w:val="-13"/>
          <w:w w:val="105"/>
        </w:rPr>
        <w:t> </w:t>
      </w:r>
      <w:r>
        <w:rPr>
          <w:w w:val="105"/>
        </w:rPr>
        <w:t>management</w:t>
      </w:r>
      <w:r>
        <w:rPr>
          <w:spacing w:val="-13"/>
          <w:w w:val="105"/>
        </w:rPr>
        <w:t> </w:t>
      </w:r>
      <w:r>
        <w:rPr>
          <w:w w:val="105"/>
        </w:rPr>
        <w:t>procedures</w:t>
      </w:r>
      <w:r>
        <w:rPr>
          <w:spacing w:val="-13"/>
          <w:w w:val="105"/>
        </w:rPr>
        <w:t> </w:t>
      </w:r>
      <w:r>
        <w:rPr>
          <w:w w:val="105"/>
        </w:rPr>
        <w:t>and prepared documentation for annual compliance reviews.</w:t>
      </w:r>
    </w:p>
    <w:p>
      <w:pPr>
        <w:pStyle w:val="BodyText"/>
        <w:spacing w:before="85"/>
      </w:pPr>
    </w:p>
    <w:p>
      <w:pPr>
        <w:pStyle w:val="Heading1"/>
        <w:ind w:left="0" w:right="1538"/>
        <w:jc w:val="center"/>
      </w:pPr>
      <w:r>
        <w:rPr>
          <w:smallCaps/>
          <w:color w:val="0C5394"/>
          <w:spacing w:val="-2"/>
          <w:w w:val="105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120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4416" id="docshape5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79"/>
        <w:rPr>
          <w:b/>
        </w:rPr>
      </w:pPr>
    </w:p>
    <w:p>
      <w:pPr>
        <w:pStyle w:val="BodyText"/>
        <w:tabs>
          <w:tab w:pos="4534" w:val="left" w:leader="none"/>
        </w:tabs>
        <w:spacing w:line="278" w:lineRule="auto"/>
        <w:ind w:left="4534" w:right="811" w:hanging="303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Fellow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American</w:t>
      </w:r>
      <w:r>
        <w:rPr>
          <w:spacing w:val="-12"/>
          <w:w w:val="105"/>
        </w:rPr>
        <w:t> </w:t>
      </w:r>
      <w:r>
        <w:rPr>
          <w:w w:val="105"/>
        </w:rPr>
        <w:t>College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Healthcare</w:t>
      </w:r>
      <w:r>
        <w:rPr>
          <w:spacing w:val="-12"/>
          <w:w w:val="105"/>
        </w:rPr>
        <w:t> </w:t>
      </w:r>
      <w:r>
        <w:rPr>
          <w:w w:val="105"/>
        </w:rPr>
        <w:t>Executives,</w:t>
      </w:r>
      <w:r>
        <w:rPr>
          <w:spacing w:val="-12"/>
          <w:w w:val="105"/>
        </w:rPr>
        <w:t> </w:t>
      </w:r>
      <w:r>
        <w:rPr>
          <w:w w:val="105"/>
        </w:rPr>
        <w:t>American</w:t>
      </w:r>
      <w:r>
        <w:rPr>
          <w:spacing w:val="-12"/>
          <w:w w:val="105"/>
        </w:rPr>
        <w:t> </w:t>
      </w:r>
      <w:r>
        <w:rPr>
          <w:w w:val="105"/>
        </w:rPr>
        <w:t>College of Healthcare Executives | 2020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hana.ogden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2026-10-08T12:51:02Z</dcterms:created>
  <dcterms:modified xsi:type="dcterms:W3CDTF">2026-10-08T12:51:02Z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