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27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Grace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Beaumont</w:t>
      </w:r>
    </w:p>
    <w:p>
      <w:pPr>
        <w:pStyle w:val="Heading1"/>
        <w:spacing w:before="207"/>
        <w:ind w:left="3827"/>
        <w:jc w:val="center"/>
      </w:pPr>
      <w:r>
        <w:rPr>
          <w:color w:val="FFFFFF"/>
        </w:rPr>
        <w:t>Senior</w:t>
      </w:r>
      <w:r>
        <w:rPr>
          <w:color w:val="FFFFFF"/>
          <w:spacing w:val="2"/>
        </w:rPr>
        <w:t> </w:t>
      </w:r>
      <w:r>
        <w:rPr>
          <w:color w:val="FFFFFF"/>
        </w:rPr>
        <w:t>Claims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Adjuster</w:t>
      </w:r>
    </w:p>
    <w:p>
      <w:pPr>
        <w:spacing w:line="249" w:lineRule="auto" w:before="155"/>
        <w:ind w:left="4065" w:right="398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Bringing 11 years of multi-line claims investigation experience and a record of resolving over 870 ﬁles per year while detecting fraudulent claims through analysis of recorded statements, medical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documentation, and repair invoices. Holds the CPCU designation and a Resident All-Lines Adjuster License (6-20), with hands-on skill in Xactimate, ISO policy forms, reserve analysis, and settlement negotiation within a $24,700 per-ﬁle authority.</w:t>
      </w:r>
    </w:p>
    <w:p>
      <w:pPr>
        <w:pStyle w:val="BodyText"/>
        <w:rPr>
          <w:b/>
        </w:rPr>
      </w:pPr>
    </w:p>
    <w:p>
      <w:pPr>
        <w:pStyle w:val="BodyText"/>
        <w:spacing w:before="136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0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sz w:val="18"/>
        </w:rPr>
        <w:t>Palatka,</w:t>
      </w:r>
      <w:r>
        <w:rPr>
          <w:spacing w:val="23"/>
          <w:sz w:val="18"/>
        </w:rPr>
        <w:t> </w:t>
      </w:r>
      <w:r>
        <w:rPr>
          <w:sz w:val="18"/>
        </w:rPr>
        <w:t>FL</w:t>
      </w:r>
      <w:r>
        <w:rPr>
          <w:spacing w:val="24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(386)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0132</w:t>
      </w:r>
    </w:p>
    <w:p>
      <w:pPr>
        <w:pStyle w:val="BodyText"/>
        <w:spacing w:before="141"/>
        <w:rPr>
          <w:sz w:val="18"/>
        </w:rPr>
      </w:pPr>
    </w:p>
    <w:p>
      <w:pPr>
        <w:spacing w:line="261" w:lineRule="auto" w:before="0"/>
        <w:ind w:left="921" w:right="3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grace.beaumont@example.c</w:t>
        </w:r>
      </w:hyperlink>
      <w:r>
        <w:rPr>
          <w:spacing w:val="-2"/>
          <w:sz w:val="18"/>
        </w:rPr>
        <w:t> </w:t>
      </w:r>
      <w:r>
        <w:rPr>
          <w:spacing w:val="-6"/>
          <w:w w:val="105"/>
          <w:sz w:val="18"/>
        </w:rPr>
        <w:t>om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8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Multi-line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claims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investigation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Claims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software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Xactimate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ISO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policy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forms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30" w:after="0"/>
        <w:ind w:left="661" w:right="974" w:hanging="298"/>
        <w:jc w:val="left"/>
        <w:rPr>
          <w:position w:val="-4"/>
          <w:sz w:val="31"/>
        </w:rPr>
      </w:pPr>
      <w:r>
        <w:rPr>
          <w:w w:val="105"/>
          <w:sz w:val="18"/>
        </w:rPr>
        <w:t>Fair claims practices </w:t>
      </w:r>
      <w:r>
        <w:rPr>
          <w:spacing w:val="-2"/>
          <w:w w:val="105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5" w:lineRule="exact" w:before="49" w:after="0"/>
        <w:ind w:left="659" w:right="0" w:hanging="296"/>
        <w:jc w:val="left"/>
        <w:rPr>
          <w:position w:val="-3"/>
          <w:sz w:val="31"/>
        </w:rPr>
      </w:pPr>
      <w:r>
        <w:rPr>
          <w:sz w:val="18"/>
        </w:rPr>
        <w:t>Reserve</w:t>
      </w:r>
      <w:r>
        <w:rPr>
          <w:spacing w:val="36"/>
          <w:sz w:val="18"/>
        </w:rPr>
        <w:t> </w:t>
      </w:r>
      <w:r>
        <w:rPr>
          <w:spacing w:val="-2"/>
          <w:sz w:val="18"/>
        </w:rPr>
        <w:t>analysis</w:t>
      </w:r>
    </w:p>
    <w:p>
      <w:pPr>
        <w:spacing w:before="70"/>
        <w:ind w:left="32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pStyle w:val="BodyText"/>
        <w:spacing w:line="256" w:lineRule="auto"/>
        <w:ind w:left="103" w:right="346"/>
      </w:pPr>
      <w:r>
        <w:rPr/>
        <w:t>SENIOR CLAIMS ADJUSTER </w:t>
      </w:r>
      <w:r>
        <w:rPr>
          <w:position w:val="2"/>
        </w:rPr>
        <w:t>| </w:t>
      </w:r>
      <w:r>
        <w:rPr/>
        <w:t>PELLICER CREEK INSURANCE GROUP,</w:t>
      </w:r>
      <w:r>
        <w:rPr>
          <w:spacing w:val="80"/>
        </w:rPr>
        <w:t> </w:t>
      </w:r>
      <w:r>
        <w:rPr/>
        <w:t>ST. AUGUSTINE, FL</w:t>
      </w:r>
    </w:p>
    <w:p>
      <w:pPr>
        <w:pStyle w:val="BodyText"/>
        <w:spacing w:before="8"/>
        <w:ind w:left="103"/>
      </w:pPr>
      <w:r>
        <w:rPr/>
        <w:t>2020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157" w:after="0"/>
        <w:ind w:left="623" w:right="285" w:hanging="298"/>
        <w:jc w:val="left"/>
        <w:rPr>
          <w:position w:val="-2"/>
          <w:sz w:val="31"/>
        </w:rPr>
      </w:pPr>
      <w:r>
        <w:rPr>
          <w:w w:val="105"/>
          <w:sz w:val="20"/>
        </w:rPr>
        <w:t>Resolved 874 claims in the past year by investigating, evaluating,</w:t>
      </w:r>
      <w:r>
        <w:rPr>
          <w:spacing w:val="80"/>
          <w:w w:val="105"/>
          <w:sz w:val="20"/>
        </w:rPr>
        <w:t> </w:t>
      </w:r>
      <w:r>
        <w:rPr>
          <w:w w:val="105"/>
          <w:sz w:val="20"/>
        </w:rPr>
        <w:t>and settling multi-line property and casualty files ranging from water damage to commercial liability.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201" w:hanging="298"/>
        <w:jc w:val="left"/>
        <w:rPr>
          <w:position w:val="-2"/>
          <w:sz w:val="31"/>
        </w:rPr>
      </w:pPr>
      <w:r>
        <w:rPr>
          <w:w w:val="105"/>
          <w:sz w:val="20"/>
        </w:rPr>
        <w:t>Detected 23 fraudulent claims over 12 months by analyzing inconsistencies in recorded statements, medical documentation, and repair invoices, referring each to the special investigations unit.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7" w:after="0"/>
        <w:ind w:left="623" w:right="608" w:hanging="298"/>
        <w:jc w:val="left"/>
        <w:rPr>
          <w:position w:val="-2"/>
          <w:sz w:val="31"/>
        </w:rPr>
      </w:pPr>
      <w:r>
        <w:rPr>
          <w:w w:val="105"/>
          <w:sz w:val="20"/>
        </w:rPr>
        <w:t>Mentored 4 junior adjusters on coverage analysis and ISO policy forms, reducing their average file turnaround from 19 days to 11 days within 6 months.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247" w:hanging="298"/>
        <w:jc w:val="both"/>
        <w:rPr>
          <w:position w:val="-2"/>
          <w:sz w:val="31"/>
        </w:rPr>
      </w:pPr>
      <w:r>
        <w:rPr>
          <w:w w:val="105"/>
          <w:sz w:val="20"/>
        </w:rPr>
        <w:t>Interviewed claimants, witnesses, and physicians on complex bodily injury files, preparing settlement recommendations within 5 business days of assignment.</w:t>
      </w:r>
    </w:p>
    <w:p>
      <w:pPr>
        <w:pStyle w:val="ListParagraph"/>
        <w:spacing w:after="0" w:line="230" w:lineRule="auto"/>
        <w:jc w:val="both"/>
        <w:rPr>
          <w:position w:val="-2"/>
          <w:sz w:val="31"/>
        </w:rPr>
        <w:sectPr>
          <w:type w:val="continuous"/>
          <w:pgSz w:w="11920" w:h="16860"/>
          <w:pgMar w:top="880" w:bottom="280" w:left="566" w:right="0"/>
          <w:cols w:num="2" w:equalWidth="0">
            <w:col w:w="3438" w:space="524"/>
            <w:col w:w="7392"/>
          </w:cols>
        </w:sectPr>
      </w:pP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Recorded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statement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techniques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Subrogation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recovery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4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Settlement</w:t>
      </w:r>
      <w:r>
        <w:rPr>
          <w:spacing w:val="51"/>
          <w:sz w:val="18"/>
        </w:rPr>
        <w:t> </w:t>
      </w:r>
      <w:r>
        <w:rPr>
          <w:spacing w:val="-2"/>
          <w:sz w:val="18"/>
        </w:rPr>
        <w:t>negotiation</w:t>
      </w:r>
    </w:p>
    <w:p>
      <w:pPr>
        <w:pStyle w:val="BodyText"/>
        <w:spacing w:line="256" w:lineRule="auto" w:before="178"/>
        <w:ind w:left="363" w:right="494"/>
      </w:pPr>
      <w:r>
        <w:rPr/>
        <w:br w:type="column"/>
      </w:r>
      <w:r>
        <w:rPr/>
        <w:t>CLAIMS ADJUSTER </w:t>
      </w:r>
      <w:r>
        <w:rPr>
          <w:position w:val="2"/>
        </w:rPr>
        <w:t>| </w:t>
      </w:r>
      <w:r>
        <w:rPr/>
        <w:t>MATANZAS INLET CASUALTY COMPANY, PALM COAST, FL</w:t>
      </w:r>
    </w:p>
    <w:p>
      <w:pPr>
        <w:pStyle w:val="BodyText"/>
        <w:spacing w:before="8"/>
        <w:ind w:left="363"/>
      </w:pPr>
      <w:r>
        <w:rPr/>
        <w:t>2017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3468" w:space="233"/>
            <w:col w:w="7653"/>
          </w:cols>
        </w:sectPr>
      </w:pPr>
    </w:p>
    <w:p>
      <w:pPr>
        <w:pStyle w:val="BodyText"/>
        <w:spacing w:before="70"/>
        <w:rPr>
          <w:sz w:val="22"/>
        </w:rPr>
      </w:pPr>
    </w:p>
    <w:p>
      <w:pPr>
        <w:pStyle w:val="Heading1"/>
      </w:pPr>
      <w:r>
        <w:rPr>
          <w:color w:val="424242"/>
          <w:spacing w:val="-2"/>
        </w:rPr>
        <w:t>CERTIFICATIONS</w:t>
      </w:r>
    </w:p>
    <w:p>
      <w:pPr>
        <w:pStyle w:val="ListParagraph"/>
        <w:numPr>
          <w:ilvl w:val="0"/>
          <w:numId w:val="2"/>
        </w:numPr>
        <w:tabs>
          <w:tab w:pos="398" w:val="left" w:leader="none"/>
          <w:tab w:pos="400" w:val="left" w:leader="none"/>
        </w:tabs>
        <w:spacing w:line="216" w:lineRule="auto" w:before="100" w:after="0"/>
        <w:ind w:left="400" w:right="467" w:hanging="298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Resolved 631 claims per year on homeowner and auto lines, coordinating field inspections and negotiating settlements within a</w:t>
      </w:r>
    </w:p>
    <w:p>
      <w:pPr>
        <w:pStyle w:val="BodyText"/>
        <w:spacing w:line="126" w:lineRule="exact" w:before="14"/>
        <w:ind w:left="400"/>
      </w:pPr>
      <w:r>
        <w:rPr>
          <w:w w:val="105"/>
        </w:rPr>
        <w:t>$24,700</w:t>
      </w:r>
      <w:r>
        <w:rPr>
          <w:spacing w:val="8"/>
          <w:w w:val="105"/>
        </w:rPr>
        <w:t> </w:t>
      </w:r>
      <w:r>
        <w:rPr>
          <w:w w:val="105"/>
        </w:rPr>
        <w:t>per-file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authority.</w:t>
      </w:r>
    </w:p>
    <w:p>
      <w:pPr>
        <w:pStyle w:val="BodyText"/>
        <w:spacing w:after="0" w:line="126" w:lineRule="exact"/>
        <w:sectPr>
          <w:type w:val="continuous"/>
          <w:pgSz w:w="11920" w:h="16860"/>
          <w:pgMar w:top="880" w:bottom="280" w:left="566" w:right="0"/>
          <w:cols w:num="2" w:equalWidth="0">
            <w:col w:w="2057" w:space="2128"/>
            <w:col w:w="7169"/>
          </w:cols>
        </w:sectPr>
      </w:pP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01" w:lineRule="auto" w:before="39" w:after="0"/>
        <w:ind w:left="661" w:right="438" w:hanging="298"/>
        <w:jc w:val="left"/>
        <w:rPr>
          <w:position w:val="-4"/>
          <w:sz w:val="31"/>
        </w:rPr>
      </w:pPr>
      <w:r>
        <w:rPr>
          <w:w w:val="105"/>
          <w:sz w:val="18"/>
        </w:rPr>
        <w:t>Resident All-Lines Adjuster License (6-20), Florida</w:t>
      </w:r>
    </w:p>
    <w:p>
      <w:pPr>
        <w:spacing w:line="261" w:lineRule="auto" w:before="25"/>
        <w:ind w:left="661" w:right="15" w:firstLine="0"/>
        <w:jc w:val="left"/>
        <w:rPr>
          <w:sz w:val="18"/>
        </w:rPr>
      </w:pPr>
      <w:r>
        <w:rPr>
          <w:w w:val="105"/>
          <w:sz w:val="18"/>
        </w:rPr>
        <w:t>Department of Financial Services, Florida Department of Financial Services, 2015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189" w:lineRule="auto" w:before="67" w:after="0"/>
        <w:ind w:left="661" w:right="314" w:hanging="298"/>
        <w:jc w:val="left"/>
        <w:rPr>
          <w:position w:val="-4"/>
          <w:sz w:val="31"/>
        </w:rPr>
      </w:pPr>
      <w:r>
        <w:rPr>
          <w:w w:val="105"/>
          <w:sz w:val="18"/>
        </w:rPr>
        <w:t>Chartered Property Casualty Underwriter, The Institutes,</w:t>
      </w:r>
    </w:p>
    <w:p>
      <w:pPr>
        <w:spacing w:before="41"/>
        <w:ind w:left="661" w:right="0" w:firstLine="0"/>
        <w:jc w:val="left"/>
        <w:rPr>
          <w:sz w:val="18"/>
        </w:rPr>
      </w:pPr>
      <w:r>
        <w:rPr>
          <w:spacing w:val="-4"/>
          <w:w w:val="105"/>
          <w:sz w:val="18"/>
        </w:rPr>
        <w:t>2019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37" w:lineRule="auto" w:before="148" w:after="0"/>
        <w:ind w:left="661" w:right="889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Identified 14 fraudulent claims over a 2-year span by cross-referencing loss histories in claims management software and requesting supplemental documentation.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37" w:lineRule="auto" w:before="32" w:after="0"/>
        <w:ind w:left="661" w:right="745" w:hanging="298"/>
        <w:jc w:val="left"/>
        <w:rPr>
          <w:position w:val="-2"/>
          <w:sz w:val="31"/>
        </w:rPr>
      </w:pPr>
      <w:r>
        <w:rPr>
          <w:w w:val="105"/>
          <w:sz w:val="20"/>
        </w:rPr>
        <w:t>Examined questionable claims flagged by initial adjusters, authorizing or denying payments after reviewing police reports, repair estimates, and policy declarations.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37" w:lineRule="auto" w:before="32" w:after="0"/>
        <w:ind w:left="661" w:right="579" w:hanging="298"/>
        <w:jc w:val="left"/>
        <w:rPr>
          <w:position w:val="-2"/>
          <w:sz w:val="31"/>
        </w:rPr>
      </w:pPr>
      <w:r>
        <w:rPr>
          <w:w w:val="105"/>
          <w:sz w:val="20"/>
        </w:rPr>
        <w:t>Corresponded with attorneys and medical providers on 37 bodily injury files per quarter, gathering treatment records to evaluate settlement ranges within 72 hours.</w:t>
      </w:r>
    </w:p>
    <w:p>
      <w:pPr>
        <w:pStyle w:val="ListParagraph"/>
        <w:spacing w:after="0" w:line="237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0"/>
          <w:cols w:num="2" w:equalWidth="0">
            <w:col w:w="3440" w:space="484"/>
            <w:col w:w="7430"/>
          </w:cols>
        </w:sectPr>
      </w:pPr>
    </w:p>
    <w:p>
      <w:pPr>
        <w:pStyle w:val="BodyText"/>
        <w:spacing w:before="16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3674"/>
                            <a:ext cx="2714625" cy="797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7972425">
                                <a:moveTo>
                                  <a:pt x="2714612" y="7648575"/>
                                </a:moveTo>
                                <a:lnTo>
                                  <a:pt x="247637" y="7648575"/>
                                </a:lnTo>
                                <a:lnTo>
                                  <a:pt x="247637" y="7972412"/>
                                </a:lnTo>
                                <a:lnTo>
                                  <a:pt x="2714612" y="7972412"/>
                                </a:lnTo>
                                <a:lnTo>
                                  <a:pt x="2714612" y="7648575"/>
                                </a:lnTo>
                                <a:close/>
                              </a:path>
                              <a:path w="2714625" h="7972425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73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33675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7637" y="2733675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733675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733675"/>
                                </a:lnTo>
                                <a:lnTo>
                                  <a:pt x="7568171" y="2733675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5" y="2743200"/>
                                </a:moveTo>
                                <a:lnTo>
                                  <a:pt x="0" y="2743200"/>
                                </a:lnTo>
                                <a:lnTo>
                                  <a:pt x="0" y="10382250"/>
                                </a:lnTo>
                                <a:lnTo>
                                  <a:pt x="2466975" y="10382250"/>
                                </a:lnTo>
                                <a:lnTo>
                                  <a:pt x="2466975" y="2743200"/>
                                </a:lnTo>
                                <a:close/>
                              </a:path>
                              <a:path w="2466975" h="103822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66975" y="2733675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9595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400425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8100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49" y="2905125"/>
                            <a:ext cx="47682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76225">
                                <a:moveTo>
                                  <a:pt x="476783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1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42976"/>
                            <a:ext cx="2047874" cy="204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9568" id="docshapegroup1" coordorigin="0,0" coordsize="11919,16860">
                <v:shape style="position:absolute;left:0;top:4305;width:4275;height:12555" id="docshape2" coordorigin="0,4305" coordsize="4275,12555" path="m4275,16350l390,16350,390,16860,4275,16860,4275,16350xm4275,4305l0,4305,0,4320,4275,4320,4275,4305xe" filled="true" fillcolor="#a64d78" stroked="false">
                  <v:path arrowok="t"/>
                  <v:fill opacity="32899f" type="solid"/>
                </v:shape>
                <v:shape style="position:absolute;left:0;top:0;width:11919;height:4305" id="docshape3" coordorigin="0,0" coordsize="11919,4305" path="m390,0l0,0,0,4305,390,4305,390,0xm11918,0l4275,0,4275,4305,11918,4305,11918,0xe" filled="true" fillcolor="#a64d78" stroked="false">
                  <v:path arrowok="t"/>
                  <v:fill type="solid"/>
                </v:shape>
                <v:shape style="position:absolute;left:389;top:0;width:3885;height:16350" id="docshape4" coordorigin="390,0" coordsize="3885,16350" path="m4275,4320l390,4320,390,16350,4275,16350,4275,4320xm4275,0l390,0,390,4305,4275,4305,4275,0xe" filled="true" fillcolor="#a64d78" stroked="false">
                  <v:path arrowok="t"/>
                  <v:fill opacity="32899f" type="solid"/>
                </v:shape>
                <v:shape style="position:absolute;left:930;top:4660;width:298;height:425" id="docshape5" coordorigin="930,4661" coordsize="298,425" path="m1079,5086l1055,5058,1004,4989,953,4900,930,4809,942,4751,974,4704,1021,4672,1079,4661,1137,4672,1184,4704,1216,4751,1217,4756,1079,4756,1068,4757,1058,4760,1049,4765,1041,4772,1035,4780,1030,4789,1027,4799,1026,4809,1027,4820,1030,4830,1035,4839,1041,4847,1049,4854,1058,4858,1068,4861,1079,4863,1214,4863,1204,4900,1153,4989,1102,5058,1079,5086xm1214,4863l1079,4863,1089,4861,1099,4858,1108,4854,1116,4847,1123,4839,1128,4830,1131,4820,1132,4809,1131,4799,1128,4789,1123,4780,1116,4772,1108,4765,1099,4760,1089,4757,1079,4756,1217,4756,1227,4809,1214,4863xe" filled="true" fillcolor="#a64d78" stroked="false">
                  <v:path arrowok="t"/>
                  <v:fill type="solid"/>
                </v:shape>
                <v:shape style="position:absolute;left:948;top:5355;width:354;height:345" type="#_x0000_t75" id="docshape6" stroked="false">
                  <v:imagedata r:id="rId6" o:title=""/>
                </v:shape>
                <v:shape style="position:absolute;left:963;top:6000;width:323;height:372" type="#_x0000_t75" id="docshape7" stroked="false">
                  <v:imagedata r:id="rId7" o:title=""/>
                </v:shape>
                <v:shape style="position:absolute;left:4410;top:4575;width:7509;height:435" id="docshape8" coordorigin="4410,4575" coordsize="7509,435" path="m11918,5010l4627,5010,4617,5010,4554,4997,4498,4967,4453,4922,4423,4866,4410,4803,4410,4793,4410,4782,4423,4719,4453,4663,4498,4618,4554,4588,4617,4575,4627,4575,11918,4575,11918,5010xe" filled="true" fillcolor="#a64d78" stroked="false">
                  <v:path arrowok="t"/>
                  <v:fill opacity="32899f" type="solid"/>
                </v:shape>
                <v:shape style="position:absolute;left:720;top:540;width:3225;height:322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56" w:lineRule="auto"/>
        <w:ind w:left="4065" w:right="398"/>
      </w:pPr>
      <w:r>
        <w:rPr/>
        <w:t>CLAIMS ADJUSTER </w:t>
      </w:r>
      <w:r>
        <w:rPr>
          <w:position w:val="2"/>
        </w:rPr>
        <w:t>| </w:t>
      </w:r>
      <w:r>
        <w:rPr/>
        <w:t>TOMOKA RIVER</w:t>
      </w:r>
      <w:r>
        <w:rPr>
          <w:spacing w:val="40"/>
        </w:rPr>
        <w:t> </w:t>
      </w:r>
      <w:r>
        <w:rPr/>
        <w:t>MUTUAL INSURANCE,</w:t>
      </w:r>
      <w:r>
        <w:rPr>
          <w:spacing w:val="40"/>
        </w:rPr>
        <w:t> </w:t>
      </w:r>
      <w:r>
        <w:rPr/>
        <w:t>DAYTONA BEACH, FL</w:t>
      </w:r>
    </w:p>
    <w:p>
      <w:pPr>
        <w:pStyle w:val="BodyText"/>
        <w:spacing w:before="8"/>
        <w:ind w:left="4065"/>
      </w:pPr>
      <w:r>
        <w:rPr/>
        <w:t>2015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2017</w:t>
      </w:r>
    </w:p>
    <w:p>
      <w:pPr>
        <w:pStyle w:val="ListParagraph"/>
        <w:numPr>
          <w:ilvl w:val="2"/>
          <w:numId w:val="2"/>
        </w:numPr>
        <w:tabs>
          <w:tab w:pos="4583" w:val="left" w:leader="none"/>
          <w:tab w:pos="4585" w:val="left" w:leader="none"/>
        </w:tabs>
        <w:spacing w:line="237" w:lineRule="auto" w:before="149" w:after="0"/>
        <w:ind w:left="4585" w:right="516" w:hanging="298"/>
        <w:jc w:val="left"/>
        <w:rPr>
          <w:sz w:val="20"/>
        </w:rPr>
      </w:pPr>
      <w:r>
        <w:rPr>
          <w:w w:val="105"/>
          <w:sz w:val="20"/>
        </w:rPr>
        <w:t>Resolved 418 claims in the first full calendar year by investigating property and auto losses, documenting findings, and issuing payments under supervisor review.</w:t>
      </w:r>
    </w:p>
    <w:p>
      <w:pPr>
        <w:pStyle w:val="ListParagraph"/>
        <w:spacing w:after="0" w:line="237" w:lineRule="auto"/>
        <w:jc w:val="left"/>
        <w:rPr>
          <w:sz w:val="20"/>
        </w:rPr>
        <w:sectPr>
          <w:type w:val="continuous"/>
          <w:pgSz w:w="11920" w:h="16860"/>
          <w:pgMar w:top="880" w:bottom="280" w:left="566" w:right="0"/>
        </w:sectPr>
      </w:pPr>
    </w:p>
    <w:p>
      <w:pPr>
        <w:pStyle w:val="BodyText"/>
        <w:spacing w:before="1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47649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2714625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2495550">
                                <a:moveTo>
                                  <a:pt x="2714624" y="2495549"/>
                                </a:moveTo>
                                <a:lnTo>
                                  <a:pt x="0" y="2495549"/>
                                </a:lnTo>
                                <a:lnTo>
                                  <a:pt x="0" y="0"/>
                                </a:lnTo>
                                <a:lnTo>
                                  <a:pt x="2714624" y="0"/>
                                </a:lnTo>
                                <a:lnTo>
                                  <a:pt x="2714624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7649" y="323849"/>
                            <a:ext cx="2466975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2495550">
                                <a:moveTo>
                                  <a:pt x="2466974" y="2495549"/>
                                </a:moveTo>
                                <a:lnTo>
                                  <a:pt x="0" y="24955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15729152" id="docshapegroup10" coordorigin="0,0" coordsize="4275,16860">
                <v:rect style="position:absolute;left:390;top:0;width:3885;height:16860" id="docshape11" filled="true" fillcolor="#a64d78" stroked="false">
                  <v:fill opacity="32899f" type="solid"/>
                </v:rect>
                <v:rect style="position:absolute;left:0;top:510;width:4275;height:3930" id="docshape12" filled="true" fillcolor="#ffffff" stroked="false">
                  <v:fill type="solid"/>
                </v:rect>
                <v:rect style="position:absolute;left:390;top:510;width:3885;height:3930" id="docshape13" filled="true" fillcolor="#a64d78" stroked="false">
                  <v:fill opacity="32899f" type="solid"/>
                </v:rect>
                <w10:wrap type="none"/>
              </v:group>
            </w:pict>
          </mc:Fallback>
        </mc:AlternateContent>
      </w:r>
    </w:p>
    <w:p>
      <w:pPr>
        <w:pStyle w:val="ListParagraph"/>
        <w:numPr>
          <w:ilvl w:val="2"/>
          <w:numId w:val="2"/>
        </w:numPr>
        <w:tabs>
          <w:tab w:pos="4583" w:val="left" w:leader="none"/>
          <w:tab w:pos="4585" w:val="left" w:leader="none"/>
        </w:tabs>
        <w:spacing w:line="230" w:lineRule="auto" w:before="0" w:after="0"/>
        <w:ind w:left="4585" w:right="364" w:hanging="298"/>
        <w:jc w:val="left"/>
        <w:rPr>
          <w:sz w:val="20"/>
        </w:rPr>
      </w:pPr>
      <w:r>
        <w:rPr>
          <w:w w:val="105"/>
          <w:sz w:val="20"/>
        </w:rPr>
        <w:t>Flagged 7 suspicious claims for the special investigations unit after identifying duplicate billing patterns and inconsistent damage </w:t>
      </w:r>
      <w:r>
        <w:rPr>
          <w:spacing w:val="-2"/>
          <w:w w:val="105"/>
          <w:sz w:val="20"/>
        </w:rPr>
        <w:t>photographs.</w:t>
      </w:r>
    </w:p>
    <w:p>
      <w:pPr>
        <w:pStyle w:val="ListParagraph"/>
        <w:numPr>
          <w:ilvl w:val="2"/>
          <w:numId w:val="2"/>
        </w:numPr>
        <w:tabs>
          <w:tab w:pos="4583" w:val="left" w:leader="none"/>
          <w:tab w:pos="4585" w:val="left" w:leader="none"/>
        </w:tabs>
        <w:spacing w:line="230" w:lineRule="auto" w:before="56" w:after="0"/>
        <w:ind w:left="4585" w:right="274" w:hanging="298"/>
        <w:jc w:val="left"/>
        <w:rPr>
          <w:sz w:val="20"/>
        </w:rPr>
      </w:pPr>
      <w:r>
        <w:rPr>
          <w:w w:val="105"/>
          <w:sz w:val="20"/>
        </w:rPr>
        <w:t>Scheduled and tracked follow-up deadlines on 93 open files using a diary system, ensuring no file exceeded state-mandated contact </w:t>
      </w:r>
      <w:r>
        <w:rPr>
          <w:spacing w:val="-2"/>
          <w:w w:val="105"/>
          <w:sz w:val="20"/>
        </w:rPr>
        <w:t>intervals.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ListParagraph"/>
        <w:numPr>
          <w:ilvl w:val="2"/>
          <w:numId w:val="2"/>
        </w:numPr>
        <w:tabs>
          <w:tab w:pos="4360" w:val="left" w:leader="none"/>
          <w:tab w:pos="4362" w:val="left" w:leader="none"/>
        </w:tabs>
        <w:spacing w:line="220" w:lineRule="auto" w:before="0" w:after="0"/>
        <w:ind w:left="4362" w:right="1543" w:hanging="298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2800349</wp:posOffset>
                </wp:positionH>
                <wp:positionV relativeFrom="paragraph">
                  <wp:posOffset>-409606</wp:posOffset>
                </wp:positionV>
                <wp:extent cx="4768215" cy="28575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68215" cy="285750"/>
                          <a:chExt cx="4768215" cy="2857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6821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85750">
                                <a:moveTo>
                                  <a:pt x="476783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399"/>
                                </a:lnTo>
                                <a:lnTo>
                                  <a:pt x="57756" y="257627"/>
                                </a:lnTo>
                                <a:lnTo>
                                  <a:pt x="28120" y="227991"/>
                                </a:lnTo>
                                <a:lnTo>
                                  <a:pt x="8348" y="190998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8" y="94749"/>
                                </a:lnTo>
                                <a:lnTo>
                                  <a:pt x="28120" y="57756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6821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2"/>
                                <w:ind w:left="44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A64D78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.499969pt;margin-top:-32.252506pt;width:375.45pt;height:22.5pt;mso-position-horizontal-relative:page;mso-position-vertical-relative:paragraph;z-index:15729664" id="docshapegroup14" coordorigin="4410,-645" coordsize="7509,450">
                <v:shape style="position:absolute;left:4410;top:-646;width:7509;height:450" id="docshape15" coordorigin="4410,-645" coordsize="7509,450" path="m11918,-195l4635,-195,4624,-195,4559,-208,4501,-239,4454,-286,4423,-344,4410,-409,4410,-420,4410,-431,4423,-496,4454,-554,4501,-601,4559,-632,4624,-645,4635,-645,11918,-645,11918,-195xe" filled="true" fillcolor="#a64d78" stroked="false">
                  <v:path arrowok="t"/>
                  <v:fill opacity="32899f"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10;top:-646;width:7509;height:450" type="#_x0000_t202" id="docshape16" filled="false" stroked="false">
                  <v:textbox inset="0,0,0,0">
                    <w:txbxContent>
                      <w:p>
                        <w:pPr>
                          <w:spacing w:before="112"/>
                          <w:ind w:left="44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A64D78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t>Bachelor</w:t>
      </w:r>
      <w:r>
        <w:rPr>
          <w:spacing w:val="65"/>
          <w:sz w:val="20"/>
        </w:rPr>
        <w:t> </w:t>
      </w:r>
      <w:r>
        <w:rPr>
          <w:sz w:val="20"/>
        </w:rPr>
        <w:t>of</w:t>
      </w:r>
      <w:r>
        <w:rPr>
          <w:spacing w:val="65"/>
          <w:sz w:val="20"/>
        </w:rPr>
        <w:t> </w:t>
      </w:r>
      <w:r>
        <w:rPr>
          <w:sz w:val="20"/>
        </w:rPr>
        <w:t>Business</w:t>
      </w:r>
      <w:r>
        <w:rPr>
          <w:spacing w:val="65"/>
          <w:sz w:val="20"/>
        </w:rPr>
        <w:t> </w:t>
      </w:r>
      <w:r>
        <w:rPr>
          <w:sz w:val="20"/>
        </w:rPr>
        <w:t>Administration</w:t>
      </w:r>
      <w:r>
        <w:rPr>
          <w:spacing w:val="65"/>
          <w:sz w:val="20"/>
        </w:rPr>
        <w:t> </w:t>
      </w:r>
      <w:r>
        <w:rPr>
          <w:sz w:val="20"/>
        </w:rPr>
        <w:t>in</w:t>
      </w:r>
      <w:r>
        <w:rPr>
          <w:spacing w:val="65"/>
          <w:sz w:val="20"/>
        </w:rPr>
        <w:t> </w:t>
      </w:r>
      <w:r>
        <w:rPr>
          <w:sz w:val="20"/>
        </w:rPr>
        <w:t>Finance</w:t>
      </w:r>
      <w:r>
        <w:rPr>
          <w:spacing w:val="80"/>
          <w:sz w:val="20"/>
        </w:rPr>
        <w:t> </w:t>
      </w:r>
      <w:r>
        <w:rPr>
          <w:sz w:val="20"/>
        </w:rPr>
        <w:t>University</w:t>
      </w:r>
      <w:r>
        <w:rPr>
          <w:spacing w:val="33"/>
          <w:sz w:val="20"/>
        </w:rPr>
        <w:t> </w:t>
      </w:r>
      <w:r>
        <w:rPr>
          <w:sz w:val="20"/>
        </w:rPr>
        <w:t>of</w:t>
      </w:r>
      <w:r>
        <w:rPr>
          <w:spacing w:val="33"/>
          <w:sz w:val="20"/>
        </w:rPr>
        <w:t> </w:t>
      </w:r>
      <w:r>
        <w:rPr>
          <w:sz w:val="20"/>
        </w:rPr>
        <w:t>North</w:t>
      </w:r>
      <w:r>
        <w:rPr>
          <w:spacing w:val="33"/>
          <w:sz w:val="20"/>
        </w:rPr>
        <w:t> </w:t>
      </w:r>
      <w:r>
        <w:rPr>
          <w:sz w:val="20"/>
        </w:rPr>
        <w:t>Florida,</w:t>
      </w:r>
      <w:r>
        <w:rPr>
          <w:spacing w:val="33"/>
          <w:sz w:val="20"/>
        </w:rPr>
        <w:t> </w:t>
      </w:r>
      <w:r>
        <w:rPr>
          <w:sz w:val="20"/>
        </w:rPr>
        <w:t>Jacksonville,</w:t>
      </w:r>
      <w:r>
        <w:rPr>
          <w:spacing w:val="33"/>
          <w:sz w:val="20"/>
        </w:rPr>
        <w:t> </w:t>
      </w:r>
      <w:r>
        <w:rPr>
          <w:sz w:val="20"/>
        </w:rPr>
        <w:t>FL</w:t>
      </w:r>
      <w:r>
        <w:rPr>
          <w:spacing w:val="26"/>
          <w:sz w:val="20"/>
        </w:rPr>
        <w:t> </w:t>
      </w:r>
      <w:r>
        <w:rPr>
          <w:position w:val="2"/>
          <w:sz w:val="20"/>
        </w:rPr>
        <w:t>|</w:t>
      </w:r>
      <w:r>
        <w:rPr>
          <w:spacing w:val="26"/>
          <w:position w:val="2"/>
          <w:sz w:val="20"/>
        </w:rPr>
        <w:t> </w:t>
      </w:r>
      <w:r>
        <w:rPr>
          <w:sz w:val="20"/>
        </w:rPr>
        <w:t>2011</w:t>
      </w:r>
      <w:r>
        <w:rPr>
          <w:spacing w:val="33"/>
          <w:sz w:val="20"/>
        </w:rPr>
        <w:t> </w:t>
      </w:r>
      <w:r>
        <w:rPr>
          <w:sz w:val="20"/>
        </w:rPr>
        <w:t>–</w:t>
      </w:r>
      <w:r>
        <w:rPr>
          <w:spacing w:val="33"/>
          <w:sz w:val="20"/>
        </w:rPr>
        <w:t> </w:t>
      </w:r>
      <w:r>
        <w:rPr>
          <w:sz w:val="20"/>
        </w:rPr>
        <w:t>2015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1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8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1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5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6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9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4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0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81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race.beaumont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2026-10-04T11:55:07Z</dcterms:created>
  <dcterms:modified xsi:type="dcterms:W3CDTF">2026-10-04T11:55:07Z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