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32"/>
        <w:rPr>
          <w:rFonts w:ascii="Times New Roman"/>
          <w:sz w:val="74"/>
        </w:r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9472">
                <wp:simplePos x="0" y="0"/>
                <wp:positionH relativeFrom="page">
                  <wp:posOffset>0</wp:posOffset>
                </wp:positionH>
                <wp:positionV relativeFrom="paragraph">
                  <wp:posOffset>-635335</wp:posOffset>
                </wp:positionV>
                <wp:extent cx="7296150" cy="405765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296150" cy="4057650"/>
                          <a:chExt cx="7296150" cy="405765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409825" cy="4057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9825" h="4057650">
                                <a:moveTo>
                                  <a:pt x="2409812" y="2676525"/>
                                </a:moveTo>
                                <a:lnTo>
                                  <a:pt x="0" y="2676525"/>
                                </a:lnTo>
                                <a:lnTo>
                                  <a:pt x="0" y="4057650"/>
                                </a:lnTo>
                                <a:lnTo>
                                  <a:pt x="2409812" y="4057650"/>
                                </a:lnTo>
                                <a:lnTo>
                                  <a:pt x="2409812" y="2676525"/>
                                </a:lnTo>
                                <a:close/>
                              </a:path>
                              <a:path w="2409825" h="4057650">
                                <a:moveTo>
                                  <a:pt x="24098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00300"/>
                                </a:lnTo>
                                <a:lnTo>
                                  <a:pt x="2409812" y="2400300"/>
                                </a:lnTo>
                                <a:lnTo>
                                  <a:pt x="24098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2505074" y="2352674"/>
                            <a:ext cx="479107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91075" h="19050">
                                <a:moveTo>
                                  <a:pt x="4791074" y="190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0"/>
                                </a:lnTo>
                                <a:lnTo>
                                  <a:pt x="4791074" y="0"/>
                                </a:lnTo>
                                <a:lnTo>
                                  <a:pt x="4791074" y="19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4391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2400299"/>
                            <a:ext cx="250507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05075" h="276225">
                                <a:moveTo>
                                  <a:pt x="2505074" y="276224"/>
                                </a:moveTo>
                                <a:lnTo>
                                  <a:pt x="0" y="276224"/>
                                </a:lnTo>
                                <a:lnTo>
                                  <a:pt x="0" y="0"/>
                                </a:lnTo>
                                <a:lnTo>
                                  <a:pt x="2505074" y="0"/>
                                </a:lnTo>
                                <a:lnTo>
                                  <a:pt x="2505074" y="276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9577" y="2847974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9590" y="3209924"/>
                            <a:ext cx="200739" cy="23117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9628" y="3609975"/>
                            <a:ext cx="200663" cy="2019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0524" y="352424"/>
                            <a:ext cx="1628774" cy="162877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50.026386pt;width:574.5pt;height:319.5pt;mso-position-horizontal-relative:page;mso-position-vertical-relative:paragraph;z-index:-15787008" id="docshapegroup1" coordorigin="0,-1001" coordsize="11490,6390">
                <v:shape style="position:absolute;left:0;top:-1001;width:3795;height:6390" id="docshape2" coordorigin="0,-1001" coordsize="3795,6390" path="m3795,3214l0,3214,0,5389,3795,5389,3795,3214xm3795,-1001l0,-1001,0,2779,3795,2779,3795,-1001xe" filled="true" fillcolor="#424242" stroked="false">
                  <v:path arrowok="t"/>
                  <v:fill type="solid"/>
                </v:shape>
                <v:rect style="position:absolute;left:3945;top:2704;width:7545;height:30" id="docshape3" filled="true" fillcolor="#000000" stroked="false">
                  <v:fill opacity="28783f" type="solid"/>
                </v:rect>
                <v:rect style="position:absolute;left:0;top:2779;width:3945;height:435" id="docshape4" filled="true" fillcolor="#e78f36" stroked="false">
                  <v:fill type="solid"/>
                </v:rect>
                <v:shape style="position:absolute;left:645;top:3484;width:317;height:317" type="#_x0000_t75" id="docshape5" stroked="false">
                  <v:imagedata r:id="rId5" o:title=""/>
                </v:shape>
                <v:shape style="position:absolute;left:645;top:4054;width:317;height:365" type="#_x0000_t75" id="docshape6" stroked="false">
                  <v:imagedata r:id="rId6" o:title=""/>
                </v:shape>
                <v:shape style="position:absolute;left:645;top:4684;width:316;height:319" type="#_x0000_t75" id="docshape7" stroked="false">
                  <v:imagedata r:id="rId7" o:title=""/>
                </v:shape>
                <v:shape style="position:absolute;left:615;top:-446;width:2565;height:2565" type="#_x0000_t75" id="docshape8" stroked="false">
                  <v:imagedata r:id="rId8" o:title=""/>
                </v:shape>
                <w10:wrap type="none"/>
              </v:group>
            </w:pict>
          </mc:Fallback>
        </mc:AlternateContent>
      </w:r>
      <w:r>
        <w:rPr>
          <w:color w:val="424242"/>
        </w:rPr>
        <w:t>Andre</w:t>
      </w:r>
      <w:r>
        <w:rPr>
          <w:color w:val="424242"/>
          <w:spacing w:val="-3"/>
        </w:rPr>
        <w:t> </w:t>
      </w:r>
      <w:r>
        <w:rPr>
          <w:color w:val="B45D08"/>
          <w:spacing w:val="-2"/>
        </w:rPr>
        <w:t>Pereira</w:t>
      </w:r>
    </w:p>
    <w:p>
      <w:pPr>
        <w:pStyle w:val="Heading2"/>
        <w:spacing w:before="207"/>
        <w:ind w:left="4227" w:right="400"/>
        <w:jc w:val="center"/>
      </w:pPr>
      <w:r>
        <w:rPr>
          <w:color w:val="424242"/>
        </w:rPr>
        <w:t>Staff </w:t>
      </w:r>
      <w:r>
        <w:rPr>
          <w:color w:val="424242"/>
          <w:spacing w:val="-2"/>
        </w:rPr>
        <w:t>Sonographer</w:t>
      </w:r>
    </w:p>
    <w:p>
      <w:pPr>
        <w:spacing w:line="273" w:lineRule="auto" w:before="178"/>
        <w:ind w:left="4225" w:right="400" w:firstLine="0"/>
        <w:jc w:val="center"/>
        <w:rPr>
          <w:sz w:val="16"/>
        </w:rPr>
      </w:pPr>
      <w:r>
        <w:rPr>
          <w:color w:val="424242"/>
          <w:w w:val="105"/>
          <w:sz w:val="16"/>
        </w:rPr>
        <w:t>Registered Diagnostic Medical Sonographer (ARDMS) with 3 years of experience performing</w:t>
      </w:r>
      <w:r>
        <w:rPr>
          <w:color w:val="424242"/>
          <w:spacing w:val="80"/>
          <w:w w:val="105"/>
          <w:sz w:val="16"/>
        </w:rPr>
        <w:t> </w:t>
      </w:r>
      <w:r>
        <w:rPr>
          <w:color w:val="424242"/>
          <w:w w:val="105"/>
          <w:sz w:val="16"/>
        </w:rPr>
        <w:t>diagnostic ultrasound scans across radiology, OB/GYN, emergency, and outpatient</w:t>
      </w:r>
      <w:r>
        <w:rPr>
          <w:color w:val="424242"/>
          <w:spacing w:val="40"/>
          <w:w w:val="105"/>
          <w:sz w:val="16"/>
        </w:rPr>
        <w:t> </w:t>
      </w:r>
      <w:r>
        <w:rPr>
          <w:color w:val="424242"/>
          <w:w w:val="105"/>
          <w:sz w:val="16"/>
        </w:rPr>
        <w:t>departments. Completes an average of 287 ultrasound scans per month while coordinating</w:t>
      </w:r>
      <w:r>
        <w:rPr>
          <w:color w:val="424242"/>
          <w:spacing w:val="40"/>
          <w:w w:val="105"/>
          <w:sz w:val="16"/>
        </w:rPr>
        <w:t> </w:t>
      </w:r>
      <w:r>
        <w:rPr>
          <w:color w:val="424242"/>
          <w:w w:val="105"/>
          <w:sz w:val="16"/>
        </w:rPr>
        <w:t>preventive maintenance that reduced equipment downtime from 6.3 hours to 2.1 hours per</w:t>
      </w:r>
      <w:r>
        <w:rPr>
          <w:color w:val="424242"/>
          <w:spacing w:val="40"/>
          <w:w w:val="105"/>
          <w:sz w:val="16"/>
        </w:rPr>
        <w:t> </w:t>
      </w:r>
      <w:r>
        <w:rPr>
          <w:color w:val="424242"/>
          <w:w w:val="105"/>
          <w:sz w:val="16"/>
        </w:rPr>
        <w:t>month on the GE Logiq 9.</w:t>
      </w:r>
    </w:p>
    <w:p>
      <w:pPr>
        <w:pStyle w:val="BodyText"/>
        <w:spacing w:before="25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0" w:bottom="0" w:left="0" w:right="141"/>
        </w:sectPr>
      </w:pPr>
    </w:p>
    <w:p>
      <w:pPr>
        <w:pStyle w:val="Heading2"/>
        <w:spacing w:before="65"/>
      </w:pPr>
      <w:r>
        <w:rPr>
          <w:color w:val="FFFFFF"/>
        </w:rPr>
        <w:t>CONTACT</w:t>
      </w:r>
      <w:r>
        <w:rPr>
          <w:color w:val="FFFFFF"/>
          <w:spacing w:val="26"/>
        </w:rPr>
        <w:t> </w:t>
      </w:r>
      <w:r>
        <w:rPr>
          <w:color w:val="FFFFFF"/>
          <w:spacing w:val="-2"/>
        </w:rPr>
        <w:t>INFORMATION</w:t>
      </w:r>
    </w:p>
    <w:p>
      <w:pPr>
        <w:pStyle w:val="BodyText"/>
        <w:spacing w:before="186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720328</wp:posOffset>
                </wp:positionH>
                <wp:positionV relativeFrom="paragraph">
                  <wp:posOffset>279826</wp:posOffset>
                </wp:positionV>
                <wp:extent cx="811530" cy="118110"/>
                <wp:effectExtent l="0" t="0" r="0" b="0"/>
                <wp:wrapTopAndBottom/>
                <wp:docPr id="9" name="Textbox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Textbox 9"/>
                      <wps:cNvSpPr txBox="1"/>
                      <wps:spPr>
                        <a:xfrm>
                          <a:off x="0" y="0"/>
                          <a:ext cx="811530" cy="1181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181" w:lineRule="exact"/>
                            </w:pPr>
                            <w:r>
                              <w:rPr>
                                <w:color w:val="FFFFFF"/>
                              </w:rPr>
                              <w:t>(302)</w:t>
                            </w:r>
                            <w:r>
                              <w:rPr>
                                <w:color w:val="FFFFFF"/>
                                <w:spacing w:val="16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</w:rPr>
                              <w:t>555-</w:t>
                            </w:r>
                            <w:r>
                              <w:rPr>
                                <w:color w:val="FFFFFF"/>
                                <w:spacing w:val="-4"/>
                              </w:rPr>
                              <w:t>0118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56.718746pt;margin-top:22.033613pt;width:63.9pt;height:9.3pt;mso-position-horizontal-relative:page;mso-position-vertical-relative:paragraph;z-index:-15728640;mso-wrap-distance-left:0;mso-wrap-distance-right:0" type="#_x0000_t202" id="docshape9" filled="false" stroked="false">
                <v:textbox inset="0,0,0,0">
                  <w:txbxContent>
                    <w:p>
                      <w:pPr>
                        <w:pStyle w:val="BodyText"/>
                        <w:spacing w:line="181" w:lineRule="exact"/>
                      </w:pPr>
                      <w:r>
                        <w:rPr>
                          <w:color w:val="FFFFFF"/>
                        </w:rPr>
                        <w:t>(302)</w:t>
                      </w:r>
                      <w:r>
                        <w:rPr>
                          <w:color w:val="FFFFFF"/>
                          <w:spacing w:val="16"/>
                        </w:rPr>
                        <w:t> </w:t>
                      </w:r>
                      <w:r>
                        <w:rPr>
                          <w:color w:val="FFFFFF"/>
                        </w:rPr>
                        <w:t>555-</w:t>
                      </w:r>
                      <w:r>
                        <w:rPr>
                          <w:color w:val="FFFFFF"/>
                          <w:spacing w:val="-4"/>
                        </w:rPr>
                        <w:t>0118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BodyText"/>
        <w:spacing w:before="19"/>
        <w:rPr>
          <w:b/>
          <w:sz w:val="7"/>
        </w:rPr>
      </w:pPr>
    </w:p>
    <w:p>
      <w:pPr>
        <w:pStyle w:val="BodyText"/>
        <w:spacing w:before="82"/>
        <w:rPr>
          <w:b/>
          <w:sz w:val="22"/>
        </w:rPr>
      </w:pPr>
      <w:r>
        <w:rPr/>
        <w:br w:type="column"/>
      </w:r>
      <w:r>
        <w:rPr>
          <w:b/>
          <w:sz w:val="22"/>
        </w:rPr>
      </w:r>
    </w:p>
    <w:p>
      <w:pPr>
        <w:pStyle w:val="Heading2"/>
      </w:pPr>
      <w:r>
        <w:rPr>
          <w:color w:val="424242"/>
        </w:rPr>
        <w:t>PROFESSIONAL</w:t>
      </w:r>
      <w:r>
        <w:rPr>
          <w:color w:val="424242"/>
          <w:spacing w:val="66"/>
        </w:rPr>
        <w:t> </w:t>
      </w:r>
      <w:r>
        <w:rPr>
          <w:color w:val="424242"/>
          <w:spacing w:val="-2"/>
        </w:rPr>
        <w:t>EXPERIENCE</w:t>
      </w:r>
    </w:p>
    <w:p>
      <w:pPr>
        <w:pStyle w:val="BodyText"/>
        <w:spacing w:before="42"/>
        <w:rPr>
          <w:b/>
          <w:sz w:val="22"/>
        </w:rPr>
      </w:pPr>
    </w:p>
    <w:p>
      <w:pPr>
        <w:pStyle w:val="BodyText"/>
        <w:ind w:left="483"/>
      </w:pPr>
      <w:r>
        <w:rPr/>
        <w:t>STAFF</w:t>
      </w:r>
      <w:r>
        <w:rPr>
          <w:spacing w:val="15"/>
        </w:rPr>
        <w:t> </w:t>
      </w:r>
      <w:r>
        <w:rPr/>
        <w:t>SONOGRAPHER</w:t>
      </w:r>
      <w:r>
        <w:rPr>
          <w:spacing w:val="21"/>
        </w:rPr>
        <w:t> </w:t>
      </w:r>
      <w:r>
        <w:rPr/>
        <w:t>|</w:t>
      </w:r>
      <w:r>
        <w:rPr>
          <w:spacing w:val="20"/>
        </w:rPr>
        <w:t> </w:t>
      </w:r>
      <w:r>
        <w:rPr/>
        <w:t>APPOQUINIMINK</w:t>
      </w:r>
      <w:r>
        <w:rPr>
          <w:spacing w:val="16"/>
        </w:rPr>
        <w:t> </w:t>
      </w:r>
      <w:r>
        <w:rPr/>
        <w:t>VALLEY</w:t>
      </w:r>
      <w:r>
        <w:rPr>
          <w:spacing w:val="11"/>
        </w:rPr>
        <w:t> </w:t>
      </w:r>
      <w:r>
        <w:rPr/>
        <w:t>MEDICAL</w:t>
      </w:r>
      <w:r>
        <w:rPr>
          <w:spacing w:val="7"/>
        </w:rPr>
        <w:t> </w:t>
      </w:r>
      <w:r>
        <w:rPr/>
        <w:t>CENTER,</w:t>
      </w:r>
      <w:r>
        <w:rPr>
          <w:spacing w:val="15"/>
        </w:rPr>
        <w:t> </w:t>
      </w:r>
      <w:r>
        <w:rPr/>
        <w:t>SMYRNA,</w:t>
      </w:r>
      <w:r>
        <w:rPr>
          <w:spacing w:val="16"/>
        </w:rPr>
        <w:t> </w:t>
      </w:r>
      <w:r>
        <w:rPr>
          <w:spacing w:val="-5"/>
        </w:rPr>
        <w:t>DE</w:t>
      </w:r>
    </w:p>
    <w:p>
      <w:pPr>
        <w:pStyle w:val="BodyText"/>
        <w:spacing w:before="18"/>
        <w:ind w:left="483"/>
      </w:pPr>
      <w:r>
        <w:rPr/>
        <w:t>2024</w:t>
      </w:r>
      <w:r>
        <w:rPr>
          <w:spacing w:val="1"/>
        </w:rPr>
        <w:t> </w:t>
      </w:r>
      <w:r>
        <w:rPr/>
        <w:t>–</w:t>
      </w:r>
      <w:r>
        <w:rPr>
          <w:spacing w:val="2"/>
        </w:rPr>
        <w:t> </w:t>
      </w:r>
      <w:r>
        <w:rPr>
          <w:spacing w:val="-2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0" w:bottom="0" w:left="0" w:right="141"/>
          <w:cols w:num="2" w:equalWidth="0">
            <w:col w:w="3205" w:space="589"/>
            <w:col w:w="7985"/>
          </w:cols>
        </w:sectPr>
      </w:pPr>
    </w:p>
    <w:p>
      <w:pPr>
        <w:pStyle w:val="BodyText"/>
        <w:spacing w:before="9"/>
        <w:rPr>
          <w:sz w:val="3"/>
        </w:rPr>
      </w:pPr>
    </w:p>
    <w:p>
      <w:pPr>
        <w:spacing w:line="186" w:lineRule="exact"/>
        <w:ind w:left="1134" w:right="-144" w:firstLine="0"/>
        <w:rPr>
          <w:position w:val="-3"/>
          <w:sz w:val="18"/>
        </w:rPr>
      </w:pPr>
      <w:r>
        <w:rPr>
          <w:position w:val="-3"/>
          <w:sz w:val="18"/>
        </w:rPr>
        <mc:AlternateContent>
          <mc:Choice Requires="wps">
            <w:drawing>
              <wp:inline distT="0" distB="0" distL="0" distR="0">
                <wp:extent cx="1536700" cy="118110"/>
                <wp:effectExtent l="0" t="0" r="0" b="0"/>
                <wp:docPr id="10" name="Textbox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Textbox 10"/>
                      <wps:cNvSpPr txBox="1"/>
                      <wps:spPr>
                        <a:xfrm>
                          <a:off x="0" y="0"/>
                          <a:ext cx="1536700" cy="1181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181" w:lineRule="exact"/>
                            </w:pPr>
                            <w:hyperlink r:id="rId9">
                              <w:r>
                                <w:rPr>
                                  <w:color w:val="FFFFFF"/>
                                  <w:spacing w:val="-2"/>
                                  <w:w w:val="105"/>
                                </w:rPr>
                                <w:t>andre.pereira@example.com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121pt;height:9.3pt;mso-position-horizontal-relative:char;mso-position-vertical-relative:line" type="#_x0000_t202" id="docshape10" filled="false" stroked="false">
                <w10:anchorlock/>
                <v:textbox inset="0,0,0,0">
                  <w:txbxContent>
                    <w:p>
                      <w:pPr>
                        <w:pStyle w:val="BodyText"/>
                        <w:spacing w:line="181" w:lineRule="exact"/>
                      </w:pPr>
                      <w:hyperlink r:id="rId9">
                        <w:r>
                          <w:rPr>
                            <w:color w:val="FFFFFF"/>
                            <w:spacing w:val="-2"/>
                            <w:w w:val="105"/>
                          </w:rPr>
                          <w:t>andre.pereira@example.com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>
        <w:rPr>
          <w:position w:val="-3"/>
          <w:sz w:val="18"/>
        </w:rPr>
      </w:r>
    </w:p>
    <w:p>
      <w:pPr>
        <w:pStyle w:val="BodyText"/>
        <w:spacing w:before="16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720328</wp:posOffset>
                </wp:positionH>
                <wp:positionV relativeFrom="paragraph">
                  <wp:posOffset>263050</wp:posOffset>
                </wp:positionV>
                <wp:extent cx="1010285" cy="118110"/>
                <wp:effectExtent l="0" t="0" r="0" b="0"/>
                <wp:wrapTopAndBottom/>
                <wp:docPr id="11" name="Textbox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Textbox 11"/>
                      <wps:cNvSpPr txBox="1"/>
                      <wps:spPr>
                        <a:xfrm>
                          <a:off x="0" y="0"/>
                          <a:ext cx="1010285" cy="1181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181" w:lineRule="exact"/>
                            </w:pPr>
                            <w:r>
                              <w:rPr>
                                <w:color w:val="FFFFFF"/>
                                <w:spacing w:val="-2"/>
                                <w:w w:val="105"/>
                              </w:rPr>
                              <w:t>Smyrna,</w:t>
                            </w:r>
                            <w:r>
                              <w:rPr>
                                <w:color w:val="FFFFFF"/>
                                <w:spacing w:val="-6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  <w:w w:val="105"/>
                              </w:rPr>
                              <w:t>DE</w:t>
                            </w:r>
                            <w:r>
                              <w:rPr>
                                <w:color w:val="FFFFFF"/>
                                <w:spacing w:val="-5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4"/>
                                <w:w w:val="105"/>
                              </w:rPr>
                              <w:t>12345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718746pt;margin-top:20.712664pt;width:79.55pt;height:9.3pt;mso-position-horizontal-relative:page;mso-position-vertical-relative:paragraph;z-index:-15727616;mso-wrap-distance-left:0;mso-wrap-distance-right:0" type="#_x0000_t202" id="docshape11" filled="false" stroked="false">
                <v:textbox inset="0,0,0,0">
                  <w:txbxContent>
                    <w:p>
                      <w:pPr>
                        <w:pStyle w:val="BodyText"/>
                        <w:spacing w:line="181" w:lineRule="exact"/>
                      </w:pPr>
                      <w:r>
                        <w:rPr>
                          <w:color w:val="FFFFFF"/>
                          <w:spacing w:val="-2"/>
                          <w:w w:val="105"/>
                        </w:rPr>
                        <w:t>Smyrna,</w:t>
                      </w:r>
                      <w:r>
                        <w:rPr>
                          <w:color w:val="FFFFFF"/>
                          <w:spacing w:val="-6"/>
                          <w:w w:val="105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  <w:w w:val="105"/>
                        </w:rPr>
                        <w:t>DE</w:t>
                      </w:r>
                      <w:r>
                        <w:rPr>
                          <w:color w:val="FFFFFF"/>
                          <w:spacing w:val="-5"/>
                          <w:w w:val="105"/>
                        </w:rPr>
                        <w:t> </w:t>
                      </w:r>
                      <w:r>
                        <w:rPr>
                          <w:color w:val="FFFFFF"/>
                          <w:spacing w:val="-4"/>
                          <w:w w:val="105"/>
                        </w:rPr>
                        <w:t>12345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6"/>
      </w:pPr>
    </w:p>
    <w:p>
      <w:pPr>
        <w:pStyle w:val="ListParagraph"/>
        <w:numPr>
          <w:ilvl w:val="0"/>
          <w:numId w:val="1"/>
        </w:numPr>
        <w:tabs>
          <w:tab w:pos="946" w:val="left" w:leader="none"/>
        </w:tabs>
        <w:spacing w:line="343" w:lineRule="exact" w:before="0" w:after="0"/>
        <w:ind w:left="946" w:right="0" w:hanging="296"/>
        <w:jc w:val="left"/>
        <w:rPr>
          <w:color w:val="F5F5F5"/>
          <w:position w:val="-4"/>
          <w:sz w:val="31"/>
        </w:rPr>
      </w:pPr>
      <w:r>
        <w:rPr>
          <w:position w:val="-4"/>
          <w:sz w:val="31"/>
        </w:rPr>
        <mc:AlternateContent>
          <mc:Choice Requires="wps">
            <w:drawing>
              <wp:anchor distT="0" distB="0" distL="0" distR="0" allowOverlap="1" layoutInCell="1" locked="0" behindDoc="1" simplePos="0" relativeHeight="487528960">
                <wp:simplePos x="0" y="0"/>
                <wp:positionH relativeFrom="page">
                  <wp:posOffset>0</wp:posOffset>
                </wp:positionH>
                <wp:positionV relativeFrom="paragraph">
                  <wp:posOffset>-113467</wp:posOffset>
                </wp:positionV>
                <wp:extent cx="2409825" cy="6362700"/>
                <wp:effectExtent l="0" t="0" r="0" b="0"/>
                <wp:wrapNone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2409825" cy="636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09825" h="6362700">
                              <a:moveTo>
                                <a:pt x="0" y="6362699"/>
                              </a:moveTo>
                              <a:lnTo>
                                <a:pt x="2409824" y="6362699"/>
                              </a:lnTo>
                              <a:lnTo>
                                <a:pt x="2409824" y="0"/>
                              </a:lnTo>
                              <a:lnTo>
                                <a:pt x="0" y="0"/>
                              </a:lnTo>
                              <a:lnTo>
                                <a:pt x="0" y="63626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2424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-8.934439pt;width:189.749985pt;height:500.99996pt;mso-position-horizontal-relative:page;mso-position-vertical-relative:paragraph;z-index:-15787520" id="docshape12" filled="true" fillcolor="#424242" stroked="false">
                <v:fill type="solid"/>
                <w10:wrap type="none"/>
              </v:rect>
            </w:pict>
          </mc:Fallback>
        </mc:AlternateContent>
      </w:r>
      <w:r>
        <w:rPr>
          <w:color w:val="F5F5F5"/>
          <w:sz w:val="18"/>
        </w:rPr>
        <w:t>Abdominal</w:t>
      </w:r>
      <w:r>
        <w:rPr>
          <w:color w:val="F5F5F5"/>
          <w:spacing w:val="18"/>
          <w:sz w:val="18"/>
        </w:rPr>
        <w:t> </w:t>
      </w:r>
      <w:r>
        <w:rPr>
          <w:color w:val="F5F5F5"/>
          <w:spacing w:val="-2"/>
          <w:sz w:val="18"/>
        </w:rPr>
        <w:t>Sonography</w:t>
      </w:r>
    </w:p>
    <w:p>
      <w:pPr>
        <w:pStyle w:val="ListParagraph"/>
        <w:numPr>
          <w:ilvl w:val="0"/>
          <w:numId w:val="1"/>
        </w:numPr>
        <w:tabs>
          <w:tab w:pos="946" w:val="left" w:leader="none"/>
        </w:tabs>
        <w:spacing w:line="330" w:lineRule="exact" w:before="0" w:after="0"/>
        <w:ind w:left="946" w:right="0" w:hanging="296"/>
        <w:jc w:val="left"/>
        <w:rPr>
          <w:color w:val="F5F5F5"/>
          <w:position w:val="-4"/>
          <w:sz w:val="31"/>
        </w:rPr>
      </w:pPr>
      <w:r>
        <w:rPr>
          <w:color w:val="F5F5F5"/>
          <w:sz w:val="18"/>
        </w:rPr>
        <w:t>OB/GYN</w:t>
      </w:r>
      <w:r>
        <w:rPr>
          <w:color w:val="F5F5F5"/>
          <w:spacing w:val="17"/>
          <w:sz w:val="18"/>
        </w:rPr>
        <w:t> </w:t>
      </w:r>
      <w:r>
        <w:rPr>
          <w:color w:val="F5F5F5"/>
          <w:spacing w:val="-2"/>
          <w:sz w:val="18"/>
        </w:rPr>
        <w:t>Imaging</w:t>
      </w:r>
    </w:p>
    <w:p>
      <w:pPr>
        <w:pStyle w:val="ListParagraph"/>
        <w:numPr>
          <w:ilvl w:val="0"/>
          <w:numId w:val="1"/>
        </w:numPr>
        <w:tabs>
          <w:tab w:pos="946" w:val="left" w:leader="none"/>
        </w:tabs>
        <w:spacing w:line="301" w:lineRule="exact" w:before="0" w:after="0"/>
        <w:ind w:left="946" w:right="0" w:hanging="296"/>
        <w:jc w:val="left"/>
        <w:rPr>
          <w:color w:val="F5F5F5"/>
          <w:position w:val="-4"/>
          <w:sz w:val="31"/>
        </w:rPr>
      </w:pPr>
      <w:r>
        <w:rPr>
          <w:color w:val="F5F5F5"/>
          <w:sz w:val="18"/>
        </w:rPr>
        <w:t>Vascular</w:t>
      </w:r>
      <w:r>
        <w:rPr>
          <w:color w:val="F5F5F5"/>
          <w:spacing w:val="8"/>
          <w:sz w:val="18"/>
        </w:rPr>
        <w:t> </w:t>
      </w:r>
      <w:r>
        <w:rPr>
          <w:color w:val="F5F5F5"/>
          <w:sz w:val="18"/>
        </w:rPr>
        <w:t>Doppler</w:t>
      </w:r>
      <w:r>
        <w:rPr>
          <w:color w:val="F5F5F5"/>
          <w:spacing w:val="-3"/>
          <w:sz w:val="18"/>
        </w:rPr>
        <w:t> </w:t>
      </w:r>
      <w:r>
        <w:rPr>
          <w:color w:val="F5F5F5"/>
          <w:spacing w:val="-2"/>
          <w:sz w:val="18"/>
        </w:rPr>
        <w:t>Assessment</w:t>
      </w:r>
    </w:p>
    <w:p>
      <w:pPr>
        <w:pStyle w:val="ListParagraph"/>
        <w:numPr>
          <w:ilvl w:val="0"/>
          <w:numId w:val="1"/>
        </w:numPr>
        <w:tabs>
          <w:tab w:pos="946" w:val="left" w:leader="none"/>
          <w:tab w:pos="948" w:val="left" w:leader="none"/>
        </w:tabs>
        <w:spacing w:line="204" w:lineRule="auto" w:before="190" w:after="0"/>
        <w:ind w:left="948" w:right="44" w:hanging="298"/>
        <w:jc w:val="left"/>
        <w:rPr>
          <w:position w:val="-2"/>
          <w:sz w:val="31"/>
        </w:rPr>
      </w:pPr>
      <w:r>
        <w:rPr/>
        <w:br w:type="column"/>
      </w:r>
      <w:r>
        <w:rPr>
          <w:w w:val="105"/>
          <w:sz w:val="18"/>
        </w:rPr>
        <w:t>Reduced equipment downtime from 6.3 hours to 2.1 hours per month by coordinating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preventive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maintenance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schedules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documenting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transducer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wear</w:t>
      </w:r>
    </w:p>
    <w:p>
      <w:pPr>
        <w:pStyle w:val="BodyText"/>
        <w:spacing w:before="39"/>
        <w:ind w:left="948"/>
      </w:pPr>
      <w:r>
        <w:rPr>
          <w:w w:val="105"/>
        </w:rPr>
        <w:t>on</w:t>
      </w:r>
      <w:r>
        <w:rPr>
          <w:spacing w:val="-7"/>
          <w:w w:val="105"/>
        </w:rPr>
        <w:t> </w:t>
      </w:r>
      <w:r>
        <w:rPr>
          <w:w w:val="105"/>
        </w:rPr>
        <w:t>the</w:t>
      </w:r>
      <w:r>
        <w:rPr>
          <w:spacing w:val="-7"/>
          <w:w w:val="105"/>
        </w:rPr>
        <w:t> </w:t>
      </w:r>
      <w:r>
        <w:rPr>
          <w:w w:val="105"/>
        </w:rPr>
        <w:t>GE</w:t>
      </w:r>
      <w:r>
        <w:rPr>
          <w:spacing w:val="-7"/>
          <w:w w:val="105"/>
        </w:rPr>
        <w:t> </w:t>
      </w:r>
      <w:r>
        <w:rPr>
          <w:w w:val="105"/>
        </w:rPr>
        <w:t>Logiq</w:t>
      </w:r>
      <w:r>
        <w:rPr>
          <w:spacing w:val="-7"/>
          <w:w w:val="105"/>
        </w:rPr>
        <w:t> </w:t>
      </w:r>
      <w:r>
        <w:rPr>
          <w:spacing w:val="-5"/>
          <w:w w:val="105"/>
        </w:rPr>
        <w:t>9.</w:t>
      </w:r>
    </w:p>
    <w:p>
      <w:pPr>
        <w:pStyle w:val="ListParagraph"/>
        <w:numPr>
          <w:ilvl w:val="0"/>
          <w:numId w:val="1"/>
        </w:numPr>
        <w:tabs>
          <w:tab w:pos="946" w:val="left" w:leader="none"/>
          <w:tab w:pos="948" w:val="left" w:leader="none"/>
        </w:tabs>
        <w:spacing w:line="201" w:lineRule="auto" w:before="75" w:after="0"/>
        <w:ind w:left="948" w:right="358" w:hanging="298"/>
        <w:jc w:val="left"/>
        <w:rPr>
          <w:position w:val="-4"/>
          <w:sz w:val="31"/>
        </w:rPr>
      </w:pPr>
      <w:r>
        <w:rPr>
          <w:position w:val="-4"/>
          <w:sz w:val="31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0</wp:posOffset>
                </wp:positionH>
                <wp:positionV relativeFrom="paragraph">
                  <wp:posOffset>233081</wp:posOffset>
                </wp:positionV>
                <wp:extent cx="2505075" cy="285750"/>
                <wp:effectExtent l="0" t="0" r="0" b="0"/>
                <wp:wrapNone/>
                <wp:docPr id="13" name="Textbox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Textbox 13"/>
                      <wps:cNvSpPr txBox="1"/>
                      <wps:spPr>
                        <a:xfrm>
                          <a:off x="0" y="0"/>
                          <a:ext cx="2505075" cy="285750"/>
                        </a:xfrm>
                        <a:prstGeom prst="rect">
                          <a:avLst/>
                        </a:prstGeom>
                        <a:solidFill>
                          <a:srgbClr val="E78F36"/>
                        </a:solidFill>
                      </wps:spPr>
                      <wps:txbx>
                        <w:txbxContent>
                          <w:p>
                            <w:pPr>
                              <w:spacing w:before="78"/>
                              <w:ind w:left="390" w:right="0" w:firstLine="0"/>
                              <w:jc w:val="left"/>
                              <w:rPr>
                                <w:b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2"/>
                              </w:rPr>
                              <w:t>KEY</w:t>
                            </w:r>
                            <w:r>
                              <w:rPr>
                                <w:b/>
                                <w:color w:val="FFFFFF"/>
                                <w:spacing w:val="1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2"/>
                              </w:rPr>
                              <w:t>SKILLS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0pt;margin-top:18.352848pt;width:197.25pt;height:22.5pt;mso-position-horizontal-relative:page;mso-position-vertical-relative:paragraph;z-index:15731200" type="#_x0000_t202" id="docshape13" filled="true" fillcolor="#e78f36" stroked="false">
                <v:textbox inset="0,0,0,0">
                  <w:txbxContent>
                    <w:p>
                      <w:pPr>
                        <w:spacing w:before="78"/>
                        <w:ind w:left="390" w:right="0" w:firstLine="0"/>
                        <w:jc w:val="left"/>
                        <w:rPr>
                          <w:b/>
                          <w:color w:val="000000"/>
                          <w:sz w:val="22"/>
                        </w:rPr>
                      </w:pPr>
                      <w:r>
                        <w:rPr>
                          <w:b/>
                          <w:color w:val="FFFFFF"/>
                          <w:sz w:val="22"/>
                        </w:rPr>
                        <w:t>KEY</w:t>
                      </w:r>
                      <w:r>
                        <w:rPr>
                          <w:b/>
                          <w:color w:val="FFFFFF"/>
                          <w:spacing w:val="17"/>
                          <w:sz w:val="22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2"/>
                          <w:sz w:val="22"/>
                        </w:rPr>
                        <w:t>SKILLS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w w:val="105"/>
          <w:sz w:val="18"/>
        </w:rPr>
        <w:t>Perform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diagnostic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ultrasound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scans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across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4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departments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including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radiology, OB/GYN, emergency, and outpatient services.</w:t>
      </w:r>
    </w:p>
    <w:p>
      <w:pPr>
        <w:pStyle w:val="ListParagraph"/>
        <w:numPr>
          <w:ilvl w:val="0"/>
          <w:numId w:val="1"/>
        </w:numPr>
        <w:tabs>
          <w:tab w:pos="946" w:val="left" w:leader="none"/>
          <w:tab w:pos="948" w:val="left" w:leader="none"/>
        </w:tabs>
        <w:spacing w:line="189" w:lineRule="auto" w:before="108" w:after="0"/>
        <w:ind w:left="948" w:right="175" w:hanging="298"/>
        <w:jc w:val="left"/>
        <w:rPr>
          <w:position w:val="-4"/>
          <w:sz w:val="31"/>
        </w:rPr>
      </w:pPr>
      <w:r>
        <w:rPr>
          <w:w w:val="105"/>
          <w:sz w:val="18"/>
        </w:rPr>
        <w:t>Complete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an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average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287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ultrasound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scans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month,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selecting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archiving images in PACS that differentiate healthy from pathological tissue.</w:t>
      </w:r>
    </w:p>
    <w:p>
      <w:pPr>
        <w:pStyle w:val="ListParagraph"/>
        <w:numPr>
          <w:ilvl w:val="0"/>
          <w:numId w:val="1"/>
        </w:numPr>
        <w:tabs>
          <w:tab w:pos="946" w:val="left" w:leader="none"/>
          <w:tab w:pos="948" w:val="left" w:leader="none"/>
        </w:tabs>
        <w:spacing w:line="201" w:lineRule="auto" w:before="98" w:after="0"/>
        <w:ind w:left="948" w:right="275" w:hanging="298"/>
        <w:jc w:val="left"/>
        <w:rPr>
          <w:position w:val="-4"/>
          <w:sz w:val="31"/>
        </w:rPr>
      </w:pPr>
      <w:r>
        <w:rPr>
          <w:w w:val="105"/>
          <w:sz w:val="18"/>
        </w:rPr>
        <w:t>Determine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whether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scan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scope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should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be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extended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based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real-time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ﬁndings, consulting with radiologists on 9 cases per week requiring expanded views.</w:t>
      </w:r>
    </w:p>
    <w:p>
      <w:pPr>
        <w:pStyle w:val="ListParagraph"/>
        <w:spacing w:after="0" w:line="201" w:lineRule="auto"/>
        <w:jc w:val="left"/>
        <w:rPr>
          <w:position w:val="-4"/>
          <w:sz w:val="31"/>
        </w:rPr>
        <w:sectPr>
          <w:type w:val="continuous"/>
          <w:pgSz w:w="11920" w:h="16860"/>
          <w:pgMar w:top="0" w:bottom="0" w:left="0" w:right="141"/>
          <w:cols w:num="2" w:equalWidth="0">
            <w:col w:w="3454" w:space="414"/>
            <w:col w:w="7911"/>
          </w:cols>
        </w:sectPr>
      </w:pPr>
    </w:p>
    <w:p>
      <w:pPr>
        <w:pStyle w:val="ListParagraph"/>
        <w:numPr>
          <w:ilvl w:val="0"/>
          <w:numId w:val="1"/>
        </w:numPr>
        <w:tabs>
          <w:tab w:pos="946" w:val="left" w:leader="none"/>
        </w:tabs>
        <w:spacing w:line="343" w:lineRule="exact" w:before="1" w:after="0"/>
        <w:ind w:left="946" w:right="0" w:hanging="296"/>
        <w:jc w:val="left"/>
        <w:rPr>
          <w:color w:val="F5F5F5"/>
          <w:position w:val="-4"/>
          <w:sz w:val="31"/>
        </w:rPr>
      </w:pPr>
      <w:r>
        <w:rPr>
          <w:color w:val="F5F5F5"/>
          <w:w w:val="105"/>
          <w:sz w:val="18"/>
        </w:rPr>
        <w:t>GE</w:t>
      </w:r>
      <w:r>
        <w:rPr>
          <w:color w:val="F5F5F5"/>
          <w:spacing w:val="-11"/>
          <w:w w:val="105"/>
          <w:sz w:val="18"/>
        </w:rPr>
        <w:t> </w:t>
      </w:r>
      <w:r>
        <w:rPr>
          <w:color w:val="F5F5F5"/>
          <w:w w:val="105"/>
          <w:sz w:val="18"/>
        </w:rPr>
        <w:t>Logiq</w:t>
      </w:r>
      <w:r>
        <w:rPr>
          <w:color w:val="F5F5F5"/>
          <w:spacing w:val="-12"/>
          <w:w w:val="105"/>
          <w:sz w:val="18"/>
        </w:rPr>
        <w:t> </w:t>
      </w:r>
      <w:r>
        <w:rPr>
          <w:color w:val="F5F5F5"/>
          <w:spacing w:val="-10"/>
          <w:w w:val="105"/>
          <w:sz w:val="18"/>
        </w:rPr>
        <w:t>9</w:t>
      </w:r>
    </w:p>
    <w:p>
      <w:pPr>
        <w:pStyle w:val="ListParagraph"/>
        <w:numPr>
          <w:ilvl w:val="0"/>
          <w:numId w:val="1"/>
        </w:numPr>
        <w:tabs>
          <w:tab w:pos="946" w:val="left" w:leader="none"/>
        </w:tabs>
        <w:spacing w:line="330" w:lineRule="exact" w:before="0" w:after="0"/>
        <w:ind w:left="946" w:right="0" w:hanging="296"/>
        <w:jc w:val="left"/>
        <w:rPr>
          <w:color w:val="F5F5F5"/>
          <w:position w:val="-4"/>
          <w:sz w:val="31"/>
        </w:rPr>
      </w:pPr>
      <w:r>
        <w:rPr>
          <w:color w:val="F5F5F5"/>
          <w:spacing w:val="-4"/>
          <w:w w:val="105"/>
          <w:sz w:val="18"/>
        </w:rPr>
        <w:t>PACS</w:t>
      </w:r>
    </w:p>
    <w:p>
      <w:pPr>
        <w:pStyle w:val="ListParagraph"/>
        <w:numPr>
          <w:ilvl w:val="0"/>
          <w:numId w:val="1"/>
        </w:numPr>
        <w:tabs>
          <w:tab w:pos="946" w:val="left" w:leader="none"/>
        </w:tabs>
        <w:spacing w:line="211" w:lineRule="exact" w:before="0" w:after="0"/>
        <w:ind w:left="946" w:right="0" w:hanging="296"/>
        <w:jc w:val="left"/>
        <w:rPr>
          <w:color w:val="F5F5F5"/>
          <w:position w:val="-4"/>
          <w:sz w:val="31"/>
        </w:rPr>
      </w:pPr>
      <w:r>
        <w:rPr>
          <w:color w:val="F5F5F5"/>
          <w:w w:val="105"/>
          <w:sz w:val="18"/>
        </w:rPr>
        <w:t>EMR</w:t>
      </w:r>
      <w:r>
        <w:rPr>
          <w:color w:val="F5F5F5"/>
          <w:spacing w:val="-12"/>
          <w:w w:val="105"/>
          <w:sz w:val="18"/>
        </w:rPr>
        <w:t> </w:t>
      </w:r>
      <w:r>
        <w:rPr>
          <w:color w:val="F5F5F5"/>
          <w:spacing w:val="-2"/>
          <w:w w:val="105"/>
          <w:sz w:val="18"/>
        </w:rPr>
        <w:t>Documentation</w:t>
      </w:r>
    </w:p>
    <w:p>
      <w:pPr>
        <w:pStyle w:val="BodyText"/>
        <w:spacing w:line="278" w:lineRule="auto" w:before="43"/>
        <w:ind w:left="650"/>
      </w:pPr>
      <w:r>
        <w:rPr/>
        <w:br w:type="column"/>
      </w:r>
      <w:r>
        <w:rPr>
          <w:spacing w:val="-2"/>
          <w:w w:val="105"/>
        </w:rPr>
        <w:t>SONOGRAPHY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TECHNICIAN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CHESAPEAKE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MARSH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COMMUNITY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HOSPITAL, </w:t>
      </w:r>
      <w:r>
        <w:rPr>
          <w:w w:val="105"/>
        </w:rPr>
        <w:t>DOVER, DE</w:t>
      </w:r>
    </w:p>
    <w:p>
      <w:pPr>
        <w:pStyle w:val="BodyText"/>
        <w:spacing w:line="192" w:lineRule="exact"/>
        <w:ind w:left="650"/>
      </w:pPr>
      <w:r>
        <w:rPr/>
        <w:t>2023</w:t>
      </w:r>
      <w:r>
        <w:rPr>
          <w:spacing w:val="1"/>
        </w:rPr>
        <w:t> </w:t>
      </w:r>
      <w:r>
        <w:rPr/>
        <w:t>–</w:t>
      </w:r>
      <w:r>
        <w:rPr>
          <w:spacing w:val="2"/>
        </w:rPr>
        <w:t> </w:t>
      </w:r>
      <w:r>
        <w:rPr>
          <w:spacing w:val="-4"/>
        </w:rPr>
        <w:t>2024</w:t>
      </w:r>
    </w:p>
    <w:p>
      <w:pPr>
        <w:pStyle w:val="BodyText"/>
        <w:spacing w:after="0" w:line="192" w:lineRule="exact"/>
        <w:sectPr>
          <w:type w:val="continuous"/>
          <w:pgSz w:w="11920" w:h="16860"/>
          <w:pgMar w:top="0" w:bottom="0" w:left="0" w:right="141"/>
          <w:cols w:num="2" w:equalWidth="0">
            <w:col w:w="2704" w:space="923"/>
            <w:col w:w="8152"/>
          </w:cols>
        </w:sectPr>
      </w:pPr>
    </w:p>
    <w:p>
      <w:pPr>
        <w:pStyle w:val="ListParagraph"/>
        <w:numPr>
          <w:ilvl w:val="0"/>
          <w:numId w:val="1"/>
        </w:numPr>
        <w:tabs>
          <w:tab w:pos="946" w:val="left" w:leader="none"/>
        </w:tabs>
        <w:spacing w:line="336" w:lineRule="exact" w:before="105" w:after="0"/>
        <w:ind w:left="946" w:right="0" w:hanging="296"/>
        <w:jc w:val="left"/>
        <w:rPr>
          <w:color w:val="F5F5F5"/>
          <w:position w:val="-4"/>
          <w:sz w:val="31"/>
        </w:rPr>
      </w:pPr>
      <w:r>
        <w:rPr>
          <w:color w:val="F5F5F5"/>
          <w:sz w:val="18"/>
        </w:rPr>
        <w:t>Transducer</w:t>
      </w:r>
      <w:r>
        <w:rPr>
          <w:color w:val="F5F5F5"/>
          <w:spacing w:val="13"/>
          <w:sz w:val="18"/>
        </w:rPr>
        <w:t> </w:t>
      </w:r>
      <w:r>
        <w:rPr>
          <w:color w:val="F5F5F5"/>
          <w:spacing w:val="-2"/>
          <w:sz w:val="18"/>
        </w:rPr>
        <w:t>Selection</w:t>
      </w:r>
    </w:p>
    <w:p>
      <w:pPr>
        <w:pStyle w:val="ListParagraph"/>
        <w:numPr>
          <w:ilvl w:val="0"/>
          <w:numId w:val="1"/>
        </w:numPr>
        <w:tabs>
          <w:tab w:pos="946" w:val="left" w:leader="none"/>
        </w:tabs>
        <w:spacing w:line="322" w:lineRule="exact" w:before="0" w:after="0"/>
        <w:ind w:left="946" w:right="0" w:hanging="296"/>
        <w:jc w:val="left"/>
        <w:rPr>
          <w:color w:val="F5F5F5"/>
          <w:position w:val="-4"/>
          <w:sz w:val="31"/>
        </w:rPr>
      </w:pPr>
      <w:r>
        <w:rPr>
          <w:color w:val="F5F5F5"/>
          <w:sz w:val="18"/>
        </w:rPr>
        <w:t>HIPAA</w:t>
      </w:r>
      <w:r>
        <w:rPr>
          <w:color w:val="F5F5F5"/>
          <w:spacing w:val="-10"/>
          <w:sz w:val="18"/>
        </w:rPr>
        <w:t> </w:t>
      </w:r>
      <w:r>
        <w:rPr>
          <w:color w:val="F5F5F5"/>
          <w:spacing w:val="-2"/>
          <w:sz w:val="18"/>
        </w:rPr>
        <w:t>Compliance</w:t>
      </w:r>
    </w:p>
    <w:p>
      <w:pPr>
        <w:pStyle w:val="ListParagraph"/>
        <w:numPr>
          <w:ilvl w:val="0"/>
          <w:numId w:val="1"/>
        </w:numPr>
        <w:tabs>
          <w:tab w:pos="946" w:val="left" w:leader="none"/>
        </w:tabs>
        <w:spacing w:line="330" w:lineRule="exact" w:before="0" w:after="0"/>
        <w:ind w:left="946" w:right="0" w:hanging="296"/>
        <w:jc w:val="left"/>
        <w:rPr>
          <w:color w:val="F5F5F5"/>
          <w:position w:val="-4"/>
          <w:sz w:val="31"/>
        </w:rPr>
      </w:pPr>
      <w:r>
        <w:rPr>
          <w:color w:val="F5F5F5"/>
          <w:sz w:val="18"/>
        </w:rPr>
        <w:t>Image</w:t>
      </w:r>
      <w:r>
        <w:rPr>
          <w:color w:val="F5F5F5"/>
          <w:spacing w:val="2"/>
          <w:sz w:val="18"/>
        </w:rPr>
        <w:t> </w:t>
      </w:r>
      <w:r>
        <w:rPr>
          <w:color w:val="F5F5F5"/>
          <w:spacing w:val="-2"/>
          <w:sz w:val="18"/>
        </w:rPr>
        <w:t>Archiving</w:t>
      </w:r>
    </w:p>
    <w:p>
      <w:pPr>
        <w:pStyle w:val="ListParagraph"/>
        <w:numPr>
          <w:ilvl w:val="0"/>
          <w:numId w:val="1"/>
        </w:numPr>
        <w:tabs>
          <w:tab w:pos="946" w:val="left" w:leader="none"/>
        </w:tabs>
        <w:spacing w:line="343" w:lineRule="exact" w:before="0" w:after="0"/>
        <w:ind w:left="946" w:right="0" w:hanging="296"/>
        <w:jc w:val="left"/>
        <w:rPr>
          <w:color w:val="F5F5F5"/>
          <w:position w:val="-4"/>
          <w:sz w:val="31"/>
        </w:rPr>
      </w:pPr>
      <w:r>
        <w:rPr>
          <w:color w:val="F5F5F5"/>
          <w:sz w:val="18"/>
        </w:rPr>
        <w:t>Patient</w:t>
      </w:r>
      <w:r>
        <w:rPr>
          <w:color w:val="F5F5F5"/>
          <w:spacing w:val="11"/>
          <w:sz w:val="18"/>
        </w:rPr>
        <w:t> </w:t>
      </w:r>
      <w:r>
        <w:rPr>
          <w:color w:val="F5F5F5"/>
          <w:spacing w:val="-2"/>
          <w:sz w:val="18"/>
        </w:rPr>
        <w:t>Positioning</w:t>
      </w:r>
    </w:p>
    <w:p>
      <w:pPr>
        <w:pStyle w:val="ListParagraph"/>
        <w:numPr>
          <w:ilvl w:val="0"/>
          <w:numId w:val="1"/>
        </w:numPr>
        <w:tabs>
          <w:tab w:pos="946" w:val="left" w:leader="none"/>
          <w:tab w:pos="948" w:val="left" w:leader="none"/>
        </w:tabs>
        <w:spacing w:line="189" w:lineRule="auto" w:before="51" w:after="0"/>
        <w:ind w:left="948" w:right="269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Performed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214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monthly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ultrasound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scans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covering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abdominal,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pelvic,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small-parts studies under supervising sonographer guidance.</w:t>
      </w:r>
    </w:p>
    <w:p>
      <w:pPr>
        <w:pStyle w:val="ListParagraph"/>
        <w:numPr>
          <w:ilvl w:val="0"/>
          <w:numId w:val="1"/>
        </w:numPr>
        <w:tabs>
          <w:tab w:pos="946" w:val="left" w:leader="none"/>
          <w:tab w:pos="948" w:val="left" w:leader="none"/>
        </w:tabs>
        <w:spacing w:line="189" w:lineRule="auto" w:before="110" w:after="0"/>
        <w:ind w:left="948" w:right="403" w:hanging="298"/>
        <w:jc w:val="left"/>
        <w:rPr>
          <w:position w:val="-4"/>
          <w:sz w:val="31"/>
        </w:rPr>
      </w:pPr>
      <w:r>
        <w:rPr>
          <w:w w:val="105"/>
          <w:sz w:val="18"/>
        </w:rPr>
        <w:t>Provided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imaging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services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3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facilities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within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hospital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network,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traveling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to satellite clinics twice per week.</w:t>
      </w:r>
    </w:p>
    <w:p>
      <w:pPr>
        <w:pStyle w:val="ListParagraph"/>
        <w:numPr>
          <w:ilvl w:val="0"/>
          <w:numId w:val="1"/>
        </w:numPr>
        <w:tabs>
          <w:tab w:pos="946" w:val="left" w:leader="none"/>
          <w:tab w:pos="948" w:val="left" w:leader="none"/>
        </w:tabs>
        <w:spacing w:line="201" w:lineRule="auto" w:before="97" w:after="0"/>
        <w:ind w:left="948" w:right="175" w:hanging="298"/>
        <w:jc w:val="left"/>
        <w:rPr>
          <w:position w:val="-4"/>
          <w:sz w:val="31"/>
        </w:rPr>
      </w:pPr>
      <w:r>
        <w:rPr>
          <w:w w:val="105"/>
          <w:sz w:val="18"/>
        </w:rPr>
        <w:t>Recorded and stored diagnostic images using a camera unit connected to the Acuson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ultrasound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system,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tagging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each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study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with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correct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patient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identiﬁers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and</w:t>
      </w:r>
    </w:p>
    <w:p>
      <w:pPr>
        <w:pStyle w:val="BodyText"/>
        <w:spacing w:before="26"/>
        <w:ind w:left="948"/>
      </w:pPr>
      <w:r>
        <w:rPr>
          <w:w w:val="105"/>
        </w:rPr>
        <w:t>exam</w:t>
      </w:r>
      <w:r>
        <w:rPr>
          <w:spacing w:val="-12"/>
          <w:w w:val="105"/>
        </w:rPr>
        <w:t> </w:t>
      </w:r>
      <w:r>
        <w:rPr>
          <w:w w:val="105"/>
        </w:rPr>
        <w:t>codes</w:t>
      </w:r>
      <w:r>
        <w:rPr>
          <w:spacing w:val="-11"/>
          <w:w w:val="105"/>
        </w:rPr>
        <w:t> </w:t>
      </w:r>
      <w:r>
        <w:rPr>
          <w:w w:val="105"/>
        </w:rPr>
        <w:t>in</w:t>
      </w:r>
      <w:r>
        <w:rPr>
          <w:spacing w:val="-11"/>
          <w:w w:val="105"/>
        </w:rPr>
        <w:t> </w:t>
      </w:r>
      <w:r>
        <w:rPr>
          <w:w w:val="105"/>
        </w:rPr>
        <w:t>the</w:t>
      </w:r>
      <w:r>
        <w:rPr>
          <w:spacing w:val="-11"/>
          <w:w w:val="105"/>
        </w:rPr>
        <w:t> </w:t>
      </w:r>
      <w:r>
        <w:rPr>
          <w:w w:val="105"/>
        </w:rPr>
        <w:t>EMR</w:t>
      </w:r>
      <w:r>
        <w:rPr>
          <w:spacing w:val="-11"/>
          <w:w w:val="105"/>
        </w:rPr>
        <w:t> </w:t>
      </w:r>
      <w:r>
        <w:rPr>
          <w:w w:val="105"/>
        </w:rPr>
        <w:t>within</w:t>
      </w:r>
      <w:r>
        <w:rPr>
          <w:spacing w:val="-11"/>
          <w:w w:val="105"/>
        </w:rPr>
        <w:t> </w:t>
      </w:r>
      <w:r>
        <w:rPr>
          <w:w w:val="105"/>
        </w:rPr>
        <w:t>7</w:t>
      </w:r>
      <w:r>
        <w:rPr>
          <w:spacing w:val="-11"/>
          <w:w w:val="105"/>
        </w:rPr>
        <w:t> </w:t>
      </w:r>
      <w:r>
        <w:rPr>
          <w:w w:val="105"/>
        </w:rPr>
        <w:t>minutes</w:t>
      </w:r>
      <w:r>
        <w:rPr>
          <w:spacing w:val="-11"/>
          <w:w w:val="105"/>
        </w:rPr>
        <w:t> </w:t>
      </w:r>
      <w:r>
        <w:rPr>
          <w:w w:val="105"/>
        </w:rPr>
        <w:t>of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completion.</w:t>
      </w:r>
    </w:p>
    <w:p>
      <w:pPr>
        <w:pStyle w:val="BodyText"/>
        <w:spacing w:after="0"/>
        <w:sectPr>
          <w:type w:val="continuous"/>
          <w:pgSz w:w="11920" w:h="16860"/>
          <w:pgMar w:top="0" w:bottom="0" w:left="0" w:right="141"/>
          <w:cols w:num="2" w:equalWidth="0">
            <w:col w:w="2738" w:space="1130"/>
            <w:col w:w="7911"/>
          </w:cols>
        </w:sectPr>
      </w:pPr>
    </w:p>
    <w:p>
      <w:pPr>
        <w:pStyle w:val="BodyText"/>
        <w:spacing w:before="12"/>
        <w:rPr>
          <w:sz w:val="22"/>
        </w:rPr>
      </w:pPr>
    </w:p>
    <w:p>
      <w:pPr>
        <w:pStyle w:val="Heading2"/>
        <w:ind w:left="4184"/>
      </w:pPr>
      <w:r>
        <w:rPr>
          <w:color w:val="424242"/>
          <w:spacing w:val="-2"/>
        </w:rPr>
        <w:t>EDUCATION</w:t>
      </w:r>
    </w:p>
    <w:p>
      <w:pPr>
        <w:pStyle w:val="BodyText"/>
        <w:spacing w:before="41"/>
        <w:rPr>
          <w:b/>
          <w:sz w:val="22"/>
        </w:rPr>
      </w:pPr>
    </w:p>
    <w:p>
      <w:pPr>
        <w:pStyle w:val="BodyText"/>
        <w:spacing w:before="1"/>
        <w:ind w:left="4277"/>
      </w:pPr>
      <w:r>
        <w:rPr>
          <w:w w:val="105"/>
        </w:rPr>
        <w:t>A.A.S.</w:t>
      </w:r>
      <w:r>
        <w:rPr>
          <w:spacing w:val="-11"/>
          <w:w w:val="105"/>
        </w:rPr>
        <w:t> </w:t>
      </w:r>
      <w:r>
        <w:rPr>
          <w:w w:val="105"/>
        </w:rPr>
        <w:t>in</w:t>
      </w:r>
      <w:r>
        <w:rPr>
          <w:spacing w:val="-10"/>
          <w:w w:val="105"/>
        </w:rPr>
        <w:t> </w:t>
      </w:r>
      <w:r>
        <w:rPr>
          <w:w w:val="105"/>
        </w:rPr>
        <w:t>Diagnostic</w:t>
      </w:r>
      <w:r>
        <w:rPr>
          <w:spacing w:val="-10"/>
          <w:w w:val="105"/>
        </w:rPr>
        <w:t> </w:t>
      </w:r>
      <w:r>
        <w:rPr>
          <w:w w:val="105"/>
        </w:rPr>
        <w:t>Medical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Sonography</w:t>
      </w:r>
    </w:p>
    <w:p>
      <w:pPr>
        <w:pStyle w:val="BodyText"/>
        <w:spacing w:before="18"/>
        <w:ind w:left="4277"/>
      </w:pPr>
      <w:r>
        <w:rPr/>
        <w:t>Delaware</w:t>
      </w:r>
      <w:r>
        <w:rPr>
          <w:spacing w:val="8"/>
        </w:rPr>
        <w:t> </w:t>
      </w:r>
      <w:r>
        <w:rPr/>
        <w:t>Technical</w:t>
      </w:r>
      <w:r>
        <w:rPr>
          <w:spacing w:val="9"/>
        </w:rPr>
        <w:t> </w:t>
      </w:r>
      <w:r>
        <w:rPr/>
        <w:t>Community</w:t>
      </w:r>
      <w:r>
        <w:rPr>
          <w:spacing w:val="8"/>
        </w:rPr>
        <w:t> </w:t>
      </w:r>
      <w:r>
        <w:rPr/>
        <w:t>College,</w:t>
      </w:r>
      <w:r>
        <w:rPr>
          <w:spacing w:val="9"/>
        </w:rPr>
        <w:t> </w:t>
      </w:r>
      <w:r>
        <w:rPr/>
        <w:t>Wilmington,</w:t>
      </w:r>
      <w:r>
        <w:rPr>
          <w:spacing w:val="8"/>
        </w:rPr>
        <w:t> </w:t>
      </w:r>
      <w:r>
        <w:rPr/>
        <w:t>DE</w:t>
      </w:r>
      <w:r>
        <w:rPr>
          <w:spacing w:val="13"/>
        </w:rPr>
        <w:t> </w:t>
      </w:r>
      <w:r>
        <w:rPr/>
        <w:t>|</w:t>
      </w:r>
      <w:r>
        <w:rPr>
          <w:spacing w:val="13"/>
        </w:rPr>
        <w:t> </w:t>
      </w:r>
      <w:r>
        <w:rPr/>
        <w:t>2021</w:t>
      </w:r>
      <w:r>
        <w:rPr>
          <w:spacing w:val="9"/>
        </w:rPr>
        <w:t> </w:t>
      </w:r>
      <w:r>
        <w:rPr/>
        <w:t>–</w:t>
      </w:r>
      <w:r>
        <w:rPr>
          <w:spacing w:val="9"/>
        </w:rPr>
        <w:t> </w:t>
      </w:r>
      <w:r>
        <w:rPr>
          <w:spacing w:val="-4"/>
        </w:rPr>
        <w:t>2023</w:t>
      </w:r>
    </w:p>
    <w:p>
      <w:pPr>
        <w:pStyle w:val="BodyText"/>
        <w:spacing w:before="58"/>
      </w:pPr>
    </w:p>
    <w:p>
      <w:pPr>
        <w:pStyle w:val="Heading2"/>
        <w:ind w:left="4184"/>
      </w:pPr>
      <w:r>
        <w:rPr>
          <w:color w:val="424242"/>
          <w:spacing w:val="-2"/>
        </w:rPr>
        <w:t>CERTIFICATIONS</w:t>
      </w:r>
    </w:p>
    <w:p>
      <w:pPr>
        <w:pStyle w:val="BodyText"/>
        <w:spacing w:before="42"/>
        <w:rPr>
          <w:b/>
          <w:sz w:val="22"/>
        </w:rPr>
      </w:pPr>
    </w:p>
    <w:p>
      <w:pPr>
        <w:pStyle w:val="BodyText"/>
        <w:ind w:left="4277"/>
      </w:pPr>
      <w:r>
        <w:rPr>
          <w:spacing w:val="-2"/>
          <w:w w:val="105"/>
        </w:rPr>
        <w:t>Registered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Diagnostic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Medical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Sonographer,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ARDMS,</w:t>
      </w:r>
      <w:r>
        <w:rPr>
          <w:spacing w:val="-5"/>
          <w:w w:val="105"/>
        </w:rPr>
        <w:t> </w:t>
      </w:r>
      <w:r>
        <w:rPr>
          <w:spacing w:val="-4"/>
          <w:w w:val="105"/>
        </w:rPr>
        <w:t>2023</w:t>
      </w:r>
    </w:p>
    <w:sectPr>
      <w:type w:val="continuous"/>
      <w:pgSz w:w="11920" w:h="16860"/>
      <w:pgMar w:top="0" w:bottom="0" w:left="0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948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91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42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694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945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196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448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699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951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4227" w:right="400"/>
      <w:jc w:val="center"/>
      <w:outlineLvl w:val="1"/>
    </w:pPr>
    <w:rPr>
      <w:rFonts w:ascii="Arial" w:hAnsi="Arial" w:eastAsia="Arial" w:cs="Arial"/>
      <w:b/>
      <w:bCs/>
      <w:sz w:val="74"/>
      <w:szCs w:val="7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390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946" w:hanging="296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hyperlink" Target="mailto:andre.pereira@example.com" TargetMode="External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2026-10-08T11:44:24Z</dcterms:created>
  <dcterms:modified xsi:type="dcterms:W3CDTF">2026-10-08T11:44:24Z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2026-10-08T00:00:00Z</vt:filetime>
  </property>
  <property fmtid="{D5CDD505-2E9C-101B-9397-08002B2CF9AE}" pid="5" name="Producer">
    <vt:lpwstr>Skia/PDF m121</vt:lpwstr>
  </property>
</Properties>
</file>