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102"/>
        <w:rPr>
          <w:rFonts w:ascii="Times New Roman"/>
          <w:sz w:val="74"/>
        </w:rPr>
      </w:pPr>
    </w:p>
    <w:p>
      <w:pPr>
        <w:spacing w:before="0"/>
        <w:ind w:left="4098" w:right="0" w:firstLine="0"/>
        <w:jc w:val="center"/>
        <w:rPr>
          <w:sz w:val="74"/>
        </w:rPr>
      </w:pPr>
      <w:r>
        <w:rPr>
          <w:sz w:val="74"/>
        </w:rPr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744</wp:posOffset>
                </wp:positionH>
                <wp:positionV relativeFrom="paragraph">
                  <wp:posOffset>-616284</wp:posOffset>
                </wp:positionV>
                <wp:extent cx="2598420" cy="2352675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2598420" cy="2352675"/>
                          <a:chExt cx="2598420" cy="235267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2598420" cy="1685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98420" h="1685925">
                                <a:moveTo>
                                  <a:pt x="6450" y="1685924"/>
                                </a:moveTo>
                                <a:lnTo>
                                  <a:pt x="0" y="1685924"/>
                                </a:lnTo>
                                <a:lnTo>
                                  <a:pt x="0" y="0"/>
                                </a:lnTo>
                                <a:lnTo>
                                  <a:pt x="2598390" y="0"/>
                                </a:lnTo>
                                <a:lnTo>
                                  <a:pt x="2598390" y="489781"/>
                                </a:lnTo>
                                <a:lnTo>
                                  <a:pt x="6450" y="16859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31B4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5005" y="400049"/>
                            <a:ext cx="1943099" cy="195262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2155" y="467171"/>
                            <a:ext cx="1828799" cy="182835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.058594pt;margin-top:-48.52636pt;width:204.6pt;height:185.25pt;mso-position-horizontal-relative:page;mso-position-vertical-relative:paragraph;z-index:15729664" id="docshapegroup1" coordorigin="1,-971" coordsize="4092,3705">
                <v:shape style="position:absolute;left:1;top:-971;width:4092;height:2655" id="docshape2" coordorigin="1,-971" coordsize="4092,2655" path="m11,1684l1,1684,1,-971,4093,-971,4093,-199,11,1684xe" filled="true" fillcolor="#731b46" stroked="false">
                  <v:path arrowok="t"/>
                  <v:fill type="solid"/>
                </v:shape>
                <v:shape style="position:absolute;left:450;top:-341;width:3060;height:3075" type="#_x0000_t75" id="docshape3" stroked="false">
                  <v:imagedata r:id="rId5" o:title=""/>
                </v:shape>
                <v:shape style="position:absolute;left:540;top:-235;width:2880;height:2880" type="#_x0000_t75" id="docshape4" stroked="false">
                  <v:imagedata r:id="rId6" o:title=""/>
                </v:shape>
                <w10:wrap type="none"/>
              </v:group>
            </w:pict>
          </mc:Fallback>
        </mc:AlternateContent>
      </w:r>
      <w:r>
        <w:rPr>
          <w:b/>
          <w:color w:val="731B46"/>
          <w:sz w:val="74"/>
        </w:rPr>
        <w:t>Bilal</w:t>
      </w:r>
      <w:r>
        <w:rPr>
          <w:b/>
          <w:color w:val="731B46"/>
          <w:spacing w:val="-3"/>
          <w:sz w:val="74"/>
        </w:rPr>
        <w:t> </w:t>
      </w:r>
      <w:r>
        <w:rPr>
          <w:color w:val="731B46"/>
          <w:spacing w:val="-2"/>
          <w:sz w:val="74"/>
        </w:rPr>
        <w:t>Costa</w:t>
      </w:r>
    </w:p>
    <w:p>
      <w:pPr>
        <w:spacing w:before="87"/>
        <w:ind w:left="4098" w:right="0" w:firstLine="0"/>
        <w:jc w:val="center"/>
        <w:rPr>
          <w:sz w:val="22"/>
        </w:rPr>
      </w:pPr>
      <w:r>
        <w:rPr>
          <w:color w:val="731B46"/>
          <w:spacing w:val="-2"/>
          <w:sz w:val="22"/>
        </w:rPr>
        <w:t>Associate</w:t>
      </w:r>
    </w:p>
    <w:p>
      <w:pPr>
        <w:pStyle w:val="BodyText"/>
        <w:spacing w:before="2"/>
        <w:rPr>
          <w:sz w:val="15"/>
        </w:rPr>
      </w:pPr>
    </w:p>
    <w:p>
      <w:pPr>
        <w:pStyle w:val="BodyText"/>
        <w:spacing w:after="0"/>
        <w:rPr>
          <w:sz w:val="15"/>
        </w:rPr>
        <w:sectPr>
          <w:type w:val="continuous"/>
          <w:pgSz w:w="11920" w:h="16860"/>
          <w:pgMar w:top="0" w:bottom="0" w:left="141" w:right="141"/>
        </w:sect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spacing w:before="170"/>
        <w:rPr>
          <w:sz w:val="16"/>
        </w:rPr>
      </w:pPr>
    </w:p>
    <w:p>
      <w:pPr>
        <w:pStyle w:val="Heading1"/>
      </w:pPr>
      <w:r>
        <w:rPr>
          <w:smallCaps/>
          <w:color w:val="731B46"/>
          <w:spacing w:val="-2"/>
          <w:w w:val="105"/>
        </w:rPr>
        <w:t>Contact</w:t>
      </w:r>
      <w:r>
        <w:rPr>
          <w:smallCaps/>
          <w:color w:val="731B46"/>
          <w:spacing w:val="-7"/>
          <w:w w:val="105"/>
        </w:rPr>
        <w:t> </w:t>
      </w:r>
      <w:r>
        <w:rPr>
          <w:smallCaps/>
          <w:color w:val="731B46"/>
          <w:spacing w:val="-2"/>
          <w:w w:val="105"/>
        </w:rPr>
        <w:t>Information</w:t>
      </w:r>
    </w:p>
    <w:p>
      <w:pPr>
        <w:pStyle w:val="BodyText"/>
        <w:spacing w:before="104"/>
        <w:rPr>
          <w:b/>
          <w:sz w:val="16"/>
        </w:rPr>
      </w:pPr>
    </w:p>
    <w:p>
      <w:pPr>
        <w:spacing w:before="0"/>
        <w:ind w:left="564" w:right="0" w:firstLine="0"/>
        <w:jc w:val="left"/>
        <w:rPr>
          <w:sz w:val="20"/>
        </w:rPr>
      </w:pPr>
      <w:r>
        <w:rPr>
          <w:position w:val="-10"/>
        </w:rPr>
        <w:drawing>
          <wp:inline distT="0" distB="0" distL="0" distR="0">
            <wp:extent cx="200766" cy="200761"/>
            <wp:effectExtent l="0" t="0" r="0" b="0"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766" cy="2007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0"/>
        </w:rPr>
      </w:r>
      <w:r>
        <w:rPr>
          <w:rFonts w:ascii="Times New Roman"/>
          <w:spacing w:val="80"/>
          <w:sz w:val="20"/>
        </w:rPr>
        <w:t> </w:t>
      </w:r>
      <w:r>
        <w:rPr>
          <w:color w:val="1F1F1F"/>
          <w:sz w:val="20"/>
        </w:rPr>
        <w:t>(660) 555-0125</w:t>
      </w:r>
    </w:p>
    <w:p>
      <w:pPr>
        <w:spacing w:line="331" w:lineRule="auto" w:before="104"/>
        <w:ind w:left="565" w:right="0" w:firstLine="19"/>
        <w:jc w:val="left"/>
        <w:rPr>
          <w:sz w:val="20"/>
        </w:rPr>
      </w:pPr>
      <w:r>
        <w:rPr>
          <w:position w:val="-10"/>
        </w:rPr>
        <w:drawing>
          <wp:inline distT="0" distB="0" distL="0" distR="0">
            <wp:extent cx="174258" cy="200679"/>
            <wp:effectExtent l="0" t="0" r="0" b="0"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4258" cy="200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0"/>
        </w:rPr>
      </w:r>
      <w:r>
        <w:rPr>
          <w:rFonts w:ascii="Times New Roman"/>
          <w:spacing w:val="80"/>
          <w:sz w:val="20"/>
        </w:rPr>
        <w:t> </w:t>
      </w:r>
      <w:hyperlink r:id="rId9">
        <w:r>
          <w:rPr>
            <w:color w:val="1F1F1F"/>
            <w:sz w:val="20"/>
          </w:rPr>
          <w:t>bilal.costa@example.com</w:t>
        </w:r>
      </w:hyperlink>
      <w:r>
        <w:rPr>
          <w:color w:val="1F1F1F"/>
          <w:sz w:val="20"/>
        </w:rPr>
        <w:t> </w:t>
      </w:r>
      <w:r>
        <w:rPr>
          <w:color w:val="1F1F1F"/>
          <w:position w:val="-10"/>
          <w:sz w:val="20"/>
        </w:rPr>
        <w:drawing>
          <wp:inline distT="0" distB="0" distL="0" distR="0">
            <wp:extent cx="199480" cy="200769"/>
            <wp:effectExtent l="0" t="0" r="0" b="0"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9480" cy="2007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1F1F1F"/>
          <w:position w:val="-10"/>
          <w:sz w:val="20"/>
        </w:rPr>
      </w:r>
      <w:r>
        <w:rPr>
          <w:rFonts w:ascii="Times New Roman"/>
          <w:color w:val="1F1F1F"/>
          <w:spacing w:val="80"/>
          <w:sz w:val="20"/>
        </w:rPr>
        <w:t> </w:t>
      </w:r>
      <w:r>
        <w:rPr>
          <w:color w:val="1F1F1F"/>
          <w:sz w:val="20"/>
        </w:rPr>
        <w:t>Sedalia, MO 12345</w:t>
      </w:r>
    </w:p>
    <w:p>
      <w:pPr>
        <w:pStyle w:val="BodyText"/>
        <w:spacing w:before="210"/>
        <w:rPr>
          <w:sz w:val="20"/>
        </w:rPr>
      </w:pPr>
    </w:p>
    <w:p>
      <w:pPr>
        <w:pStyle w:val="Heading1"/>
      </w:pPr>
      <w:r>
        <w:rPr>
          <w:smallCaps/>
          <w:color w:val="731B46"/>
          <w:spacing w:val="-2"/>
          <w:w w:val="105"/>
        </w:rPr>
        <w:t>Education</w:t>
      </w:r>
    </w:p>
    <w:p>
      <w:pPr>
        <w:pStyle w:val="BodyText"/>
        <w:spacing w:before="99"/>
        <w:rPr>
          <w:b/>
          <w:sz w:val="16"/>
        </w:rPr>
      </w:pPr>
    </w:p>
    <w:p>
      <w:pPr>
        <w:pStyle w:val="BodyText"/>
        <w:spacing w:line="268" w:lineRule="auto" w:before="1"/>
        <w:ind w:left="380"/>
      </w:pPr>
      <w:r>
        <w:rPr>
          <w:w w:val="105"/>
        </w:rPr>
        <w:t>BSBA in Finance and Banking </w:t>
      </w:r>
      <w:r>
        <w:rPr>
          <w:spacing w:val="-2"/>
          <w:w w:val="105"/>
        </w:rPr>
        <w:t>University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of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Missouri,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Columbia,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MO </w:t>
      </w:r>
      <w:r>
        <w:rPr>
          <w:w w:val="105"/>
        </w:rPr>
        <w:t>2016 - 2020</w:t>
      </w:r>
    </w:p>
    <w:p>
      <w:pPr>
        <w:pStyle w:val="BodyText"/>
      </w:pPr>
    </w:p>
    <w:p>
      <w:pPr>
        <w:pStyle w:val="BodyText"/>
        <w:spacing w:before="56"/>
      </w:pPr>
    </w:p>
    <w:p>
      <w:pPr>
        <w:pStyle w:val="Heading1"/>
      </w:pPr>
      <w:r>
        <w:rPr>
          <w:smallCaps/>
          <w:color w:val="731B46"/>
          <w:w w:val="105"/>
        </w:rPr>
        <w:t>Key </w:t>
      </w:r>
      <w:r>
        <w:rPr>
          <w:smallCaps/>
          <w:color w:val="731B46"/>
          <w:spacing w:val="-2"/>
          <w:w w:val="105"/>
        </w:rPr>
        <w:t>Skills</w:t>
      </w:r>
    </w:p>
    <w:p>
      <w:pPr>
        <w:pStyle w:val="BodyText"/>
        <w:spacing w:before="100"/>
        <w:rPr>
          <w:b/>
          <w:sz w:val="16"/>
        </w:rPr>
      </w:pPr>
    </w:p>
    <w:p>
      <w:pPr>
        <w:tabs>
          <w:tab w:pos="678" w:val="left" w:leader="none"/>
        </w:tabs>
        <w:spacing w:before="0"/>
        <w:ind w:left="383" w:right="0" w:firstLine="0"/>
        <w:jc w:val="left"/>
        <w:rPr>
          <w:sz w:val="18"/>
        </w:rPr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spacing w:val="-2"/>
          <w:w w:val="105"/>
          <w:sz w:val="18"/>
        </w:rPr>
        <w:t>Excel</w:t>
      </w:r>
    </w:p>
    <w:p>
      <w:pPr>
        <w:pStyle w:val="BodyText"/>
        <w:tabs>
          <w:tab w:pos="678" w:val="left" w:leader="none"/>
        </w:tabs>
        <w:spacing w:before="108"/>
        <w:ind w:left="383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spacing w:val="-2"/>
          <w:w w:val="105"/>
        </w:rPr>
        <w:t>Bloomberg</w:t>
      </w:r>
    </w:p>
    <w:p>
      <w:pPr>
        <w:pStyle w:val="BodyText"/>
        <w:tabs>
          <w:tab w:pos="678" w:val="left" w:leader="none"/>
        </w:tabs>
        <w:spacing w:before="123"/>
        <w:ind w:left="383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LBO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Modeling</w:t>
      </w:r>
    </w:p>
    <w:p>
      <w:pPr>
        <w:pStyle w:val="BodyText"/>
        <w:tabs>
          <w:tab w:pos="678" w:val="left" w:leader="none"/>
        </w:tabs>
        <w:spacing w:before="123"/>
        <w:ind w:left="383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/>
        <w:t>Discounted</w:t>
      </w:r>
      <w:r>
        <w:rPr>
          <w:spacing w:val="13"/>
        </w:rPr>
        <w:t> </w:t>
      </w:r>
      <w:r>
        <w:rPr/>
        <w:t>Cash</w:t>
      </w:r>
      <w:r>
        <w:rPr>
          <w:spacing w:val="14"/>
        </w:rPr>
        <w:t> </w:t>
      </w:r>
      <w:r>
        <w:rPr/>
        <w:t>Flow</w:t>
      </w:r>
      <w:r>
        <w:rPr>
          <w:spacing w:val="2"/>
        </w:rPr>
        <w:t> </w:t>
      </w:r>
      <w:r>
        <w:rPr>
          <w:spacing w:val="-2"/>
        </w:rPr>
        <w:t>Analysis</w:t>
      </w:r>
    </w:p>
    <w:p>
      <w:pPr>
        <w:pStyle w:val="BodyText"/>
        <w:tabs>
          <w:tab w:pos="678" w:val="left" w:leader="none"/>
        </w:tabs>
        <w:spacing w:before="123"/>
        <w:ind w:left="383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2" name="Image 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" name="Image 12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/>
        <w:t>M&amp;A </w:t>
      </w:r>
      <w:r>
        <w:rPr>
          <w:spacing w:val="-2"/>
        </w:rPr>
        <w:t>Execution</w:t>
      </w:r>
    </w:p>
    <w:p>
      <w:pPr>
        <w:pStyle w:val="BodyText"/>
        <w:tabs>
          <w:tab w:pos="678" w:val="left" w:leader="none"/>
        </w:tabs>
        <w:spacing w:before="123"/>
        <w:ind w:left="383"/>
      </w:pPr>
      <w:r>
        <w:rPr>
          <w:position w:val="3"/>
        </w:rPr>
        <w:drawing>
          <wp:inline distT="0" distB="0" distL="0" distR="0">
            <wp:extent cx="47624" cy="38099"/>
            <wp:effectExtent l="0" t="0" r="0" b="0"/>
            <wp:docPr id="13" name="Image 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" name="Image 13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38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3"/>
        </w:rPr>
      </w:r>
      <w:r>
        <w:rPr>
          <w:rFonts w:ascii="Times New Roman"/>
          <w:sz w:val="20"/>
        </w:rPr>
        <w:tab/>
      </w:r>
      <w:r>
        <w:rPr/>
        <w:t>Portfolio</w:t>
      </w:r>
      <w:r>
        <w:rPr>
          <w:spacing w:val="12"/>
        </w:rPr>
        <w:t> </w:t>
      </w:r>
      <w:r>
        <w:rPr>
          <w:spacing w:val="-2"/>
        </w:rPr>
        <w:t>Monitoring</w:t>
      </w:r>
    </w:p>
    <w:p>
      <w:pPr>
        <w:pStyle w:val="BodyText"/>
        <w:tabs>
          <w:tab w:pos="678" w:val="left" w:leader="none"/>
        </w:tabs>
        <w:spacing w:before="108"/>
        <w:ind w:left="383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4" name="Image 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" name="Image 14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spacing w:val="-2"/>
          <w:w w:val="105"/>
        </w:rPr>
        <w:t>Due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Diligence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Coordination</w:t>
      </w:r>
    </w:p>
    <w:p>
      <w:pPr>
        <w:pStyle w:val="BodyText"/>
        <w:tabs>
          <w:tab w:pos="678" w:val="left" w:leader="none"/>
        </w:tabs>
        <w:spacing w:before="123"/>
        <w:ind w:left="383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5" name="Image 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" name="Image 15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/>
        <w:t>Cash</w:t>
      </w:r>
      <w:r>
        <w:rPr>
          <w:spacing w:val="10"/>
        </w:rPr>
        <w:t> </w:t>
      </w:r>
      <w:r>
        <w:rPr/>
        <w:t>Flow</w:t>
      </w:r>
      <w:r>
        <w:rPr>
          <w:spacing w:val="10"/>
        </w:rPr>
        <w:t> </w:t>
      </w:r>
      <w:r>
        <w:rPr/>
        <w:t>Waterfall</w:t>
      </w:r>
      <w:r>
        <w:rPr>
          <w:spacing w:val="-2"/>
        </w:rPr>
        <w:t> Analysis</w:t>
      </w:r>
    </w:p>
    <w:p>
      <w:pPr>
        <w:pStyle w:val="BodyText"/>
        <w:tabs>
          <w:tab w:pos="678" w:val="left" w:leader="none"/>
        </w:tabs>
        <w:spacing w:before="123"/>
        <w:ind w:left="383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6" name="Image 1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" name="Image 16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/>
        <w:t>EBITDA</w:t>
      </w:r>
      <w:r>
        <w:rPr>
          <w:spacing w:val="3"/>
        </w:rPr>
        <w:t> </w:t>
      </w:r>
      <w:r>
        <w:rPr/>
        <w:t>Bridge</w:t>
      </w:r>
      <w:r>
        <w:rPr>
          <w:spacing w:val="4"/>
        </w:rPr>
        <w:t> </w:t>
      </w:r>
      <w:r>
        <w:rPr>
          <w:spacing w:val="-2"/>
        </w:rPr>
        <w:t>Analysis</w:t>
      </w:r>
    </w:p>
    <w:p>
      <w:pPr>
        <w:pStyle w:val="BodyText"/>
        <w:tabs>
          <w:tab w:pos="678" w:val="left" w:leader="none"/>
        </w:tabs>
        <w:spacing w:before="123"/>
        <w:ind w:left="383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7" name="Image 1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" name="Image 17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Data</w:t>
      </w:r>
      <w:r>
        <w:rPr>
          <w:spacing w:val="-14"/>
          <w:w w:val="105"/>
        </w:rPr>
        <w:t> </w:t>
      </w:r>
      <w:r>
        <w:rPr>
          <w:w w:val="105"/>
        </w:rPr>
        <w:t>Room</w:t>
      </w:r>
      <w:r>
        <w:rPr>
          <w:spacing w:val="-13"/>
          <w:w w:val="105"/>
        </w:rPr>
        <w:t> </w:t>
      </w:r>
      <w:r>
        <w:rPr>
          <w:spacing w:val="-2"/>
          <w:w w:val="105"/>
        </w:rPr>
        <w:t>Management</w:t>
      </w:r>
    </w:p>
    <w:p>
      <w:pPr>
        <w:pStyle w:val="BodyText"/>
        <w:spacing w:line="288" w:lineRule="auto" w:before="75"/>
        <w:ind w:left="91" w:right="64"/>
        <w:jc w:val="center"/>
      </w:pPr>
      <w:r>
        <w:rPr/>
        <w:br w:type="column"/>
      </w:r>
      <w:r>
        <w:rPr>
          <w:w w:val="105"/>
        </w:rPr>
        <w:t>Private</w:t>
      </w:r>
      <w:r>
        <w:rPr>
          <w:spacing w:val="-14"/>
          <w:w w:val="105"/>
        </w:rPr>
        <w:t> </w:t>
      </w:r>
      <w:r>
        <w:rPr>
          <w:w w:val="105"/>
        </w:rPr>
        <w:t>equity</w:t>
      </w:r>
      <w:r>
        <w:rPr>
          <w:spacing w:val="-13"/>
          <w:w w:val="105"/>
        </w:rPr>
        <w:t> </w:t>
      </w:r>
      <w:r>
        <w:rPr>
          <w:w w:val="105"/>
        </w:rPr>
        <w:t>and</w:t>
      </w:r>
      <w:r>
        <w:rPr>
          <w:spacing w:val="-13"/>
          <w:w w:val="105"/>
        </w:rPr>
        <w:t> </w:t>
      </w:r>
      <w:r>
        <w:rPr>
          <w:w w:val="105"/>
        </w:rPr>
        <w:t>investment</w:t>
      </w:r>
      <w:r>
        <w:rPr>
          <w:spacing w:val="-13"/>
          <w:w w:val="105"/>
        </w:rPr>
        <w:t> </w:t>
      </w:r>
      <w:r>
        <w:rPr>
          <w:w w:val="105"/>
        </w:rPr>
        <w:t>banking</w:t>
      </w:r>
      <w:r>
        <w:rPr>
          <w:spacing w:val="-13"/>
          <w:w w:val="105"/>
        </w:rPr>
        <w:t> </w:t>
      </w:r>
      <w:r>
        <w:rPr>
          <w:w w:val="105"/>
        </w:rPr>
        <w:t>professional</w:t>
      </w:r>
      <w:r>
        <w:rPr>
          <w:spacing w:val="-13"/>
          <w:w w:val="105"/>
        </w:rPr>
        <w:t> </w:t>
      </w:r>
      <w:r>
        <w:rPr>
          <w:w w:val="105"/>
        </w:rPr>
        <w:t>with</w:t>
      </w:r>
      <w:r>
        <w:rPr>
          <w:spacing w:val="-13"/>
          <w:w w:val="105"/>
        </w:rPr>
        <w:t> </w:t>
      </w:r>
      <w:r>
        <w:rPr>
          <w:w w:val="105"/>
        </w:rPr>
        <w:t>6</w:t>
      </w:r>
      <w:r>
        <w:rPr>
          <w:spacing w:val="-14"/>
          <w:w w:val="105"/>
        </w:rPr>
        <w:t> </w:t>
      </w:r>
      <w:r>
        <w:rPr>
          <w:w w:val="105"/>
        </w:rPr>
        <w:t>years</w:t>
      </w:r>
      <w:r>
        <w:rPr>
          <w:spacing w:val="-13"/>
          <w:w w:val="105"/>
        </w:rPr>
        <w:t> </w:t>
      </w:r>
      <w:r>
        <w:rPr>
          <w:w w:val="105"/>
        </w:rPr>
        <w:t>of</w:t>
      </w:r>
      <w:r>
        <w:rPr>
          <w:spacing w:val="-13"/>
          <w:w w:val="105"/>
        </w:rPr>
        <w:t> </w:t>
      </w:r>
      <w:r>
        <w:rPr>
          <w:w w:val="105"/>
        </w:rPr>
        <w:t>experience</w:t>
      </w:r>
      <w:r>
        <w:rPr>
          <w:spacing w:val="-13"/>
          <w:w w:val="105"/>
        </w:rPr>
        <w:t> </w:t>
      </w:r>
      <w:r>
        <w:rPr>
          <w:w w:val="105"/>
        </w:rPr>
        <w:t>monitoring up</w:t>
      </w:r>
      <w:r>
        <w:rPr>
          <w:spacing w:val="-1"/>
          <w:w w:val="105"/>
        </w:rPr>
        <w:t> </w:t>
      </w:r>
      <w:r>
        <w:rPr>
          <w:w w:val="105"/>
        </w:rPr>
        <w:t>to</w:t>
      </w:r>
      <w:r>
        <w:rPr>
          <w:spacing w:val="-1"/>
          <w:w w:val="105"/>
        </w:rPr>
        <w:t> </w:t>
      </w:r>
      <w:r>
        <w:rPr>
          <w:w w:val="105"/>
        </w:rPr>
        <w:t>23</w:t>
      </w:r>
      <w:r>
        <w:rPr>
          <w:spacing w:val="-1"/>
          <w:w w:val="105"/>
        </w:rPr>
        <w:t> </w:t>
      </w:r>
      <w:r>
        <w:rPr>
          <w:w w:val="105"/>
        </w:rPr>
        <w:t>portfolio</w:t>
      </w:r>
      <w:r>
        <w:rPr>
          <w:spacing w:val="-1"/>
          <w:w w:val="105"/>
        </w:rPr>
        <w:t> </w:t>
      </w:r>
      <w:r>
        <w:rPr>
          <w:w w:val="105"/>
        </w:rPr>
        <w:t>companies</w:t>
      </w:r>
      <w:r>
        <w:rPr>
          <w:spacing w:val="-1"/>
          <w:w w:val="105"/>
        </w:rPr>
        <w:t> </w:t>
      </w:r>
      <w:r>
        <w:rPr>
          <w:w w:val="105"/>
        </w:rPr>
        <w:t>per</w:t>
      </w:r>
      <w:r>
        <w:rPr>
          <w:spacing w:val="-1"/>
          <w:w w:val="105"/>
        </w:rPr>
        <w:t> </w:t>
      </w:r>
      <w:r>
        <w:rPr>
          <w:w w:val="105"/>
        </w:rPr>
        <w:t>role,</w:t>
      </w:r>
      <w:r>
        <w:rPr>
          <w:spacing w:val="-1"/>
          <w:w w:val="105"/>
        </w:rPr>
        <w:t> </w:t>
      </w:r>
      <w:r>
        <w:rPr>
          <w:w w:val="105"/>
        </w:rPr>
        <w:t>coordinating</w:t>
      </w:r>
      <w:r>
        <w:rPr>
          <w:spacing w:val="-1"/>
          <w:w w:val="105"/>
        </w:rPr>
        <w:t> </w:t>
      </w:r>
      <w:r>
        <w:rPr>
          <w:w w:val="105"/>
        </w:rPr>
        <w:t>third-party</w:t>
      </w:r>
      <w:r>
        <w:rPr>
          <w:spacing w:val="-1"/>
          <w:w w:val="105"/>
        </w:rPr>
        <w:t> </w:t>
      </w:r>
      <w:r>
        <w:rPr>
          <w:w w:val="105"/>
        </w:rPr>
        <w:t>advisors</w:t>
      </w:r>
      <w:r>
        <w:rPr>
          <w:spacing w:val="-1"/>
          <w:w w:val="105"/>
        </w:rPr>
        <w:t> </w:t>
      </w:r>
      <w:r>
        <w:rPr>
          <w:w w:val="105"/>
        </w:rPr>
        <w:t>across</w:t>
      </w:r>
      <w:r>
        <w:rPr>
          <w:w w:val="105"/>
        </w:rPr>
        <w:t> acquisitions</w:t>
      </w:r>
      <w:r>
        <w:rPr>
          <w:spacing w:val="-3"/>
          <w:w w:val="105"/>
        </w:rPr>
        <w:t> </w:t>
      </w:r>
      <w:r>
        <w:rPr>
          <w:w w:val="105"/>
        </w:rPr>
        <w:t>and</w:t>
      </w:r>
      <w:r>
        <w:rPr>
          <w:spacing w:val="-3"/>
          <w:w w:val="105"/>
        </w:rPr>
        <w:t> </w:t>
      </w:r>
      <w:r>
        <w:rPr>
          <w:w w:val="105"/>
        </w:rPr>
        <w:t>divestitures,</w:t>
      </w:r>
      <w:r>
        <w:rPr>
          <w:spacing w:val="-3"/>
          <w:w w:val="105"/>
        </w:rPr>
        <w:t> </w:t>
      </w:r>
      <w:r>
        <w:rPr>
          <w:w w:val="105"/>
        </w:rPr>
        <w:t>and</w:t>
      </w:r>
      <w:r>
        <w:rPr>
          <w:spacing w:val="-3"/>
          <w:w w:val="105"/>
        </w:rPr>
        <w:t> </w:t>
      </w:r>
      <w:r>
        <w:rPr>
          <w:w w:val="105"/>
        </w:rPr>
        <w:t>building</w:t>
      </w:r>
      <w:r>
        <w:rPr>
          <w:spacing w:val="-3"/>
          <w:w w:val="105"/>
        </w:rPr>
        <w:t> </w:t>
      </w:r>
      <w:r>
        <w:rPr>
          <w:w w:val="105"/>
        </w:rPr>
        <w:t>operating</w:t>
      </w:r>
      <w:r>
        <w:rPr>
          <w:spacing w:val="-3"/>
          <w:w w:val="105"/>
        </w:rPr>
        <w:t> </w:t>
      </w:r>
      <w:r>
        <w:rPr>
          <w:w w:val="105"/>
        </w:rPr>
        <w:t>models</w:t>
      </w:r>
      <w:r>
        <w:rPr>
          <w:spacing w:val="-3"/>
          <w:w w:val="105"/>
        </w:rPr>
        <w:t> </w:t>
      </w:r>
      <w:r>
        <w:rPr>
          <w:w w:val="105"/>
        </w:rPr>
        <w:t>in</w:t>
      </w:r>
      <w:r>
        <w:rPr>
          <w:spacing w:val="-3"/>
          <w:w w:val="105"/>
        </w:rPr>
        <w:t> </w:t>
      </w:r>
      <w:r>
        <w:rPr>
          <w:w w:val="105"/>
        </w:rPr>
        <w:t>Excel</w:t>
      </w:r>
      <w:r>
        <w:rPr>
          <w:spacing w:val="-3"/>
          <w:w w:val="105"/>
        </w:rPr>
        <w:t> </w:t>
      </w:r>
      <w:r>
        <w:rPr>
          <w:w w:val="105"/>
        </w:rPr>
        <w:t>and</w:t>
      </w:r>
      <w:r>
        <w:rPr>
          <w:spacing w:val="-3"/>
          <w:w w:val="105"/>
        </w:rPr>
        <w:t> </w:t>
      </w:r>
      <w:r>
        <w:rPr>
          <w:w w:val="105"/>
        </w:rPr>
        <w:t>Bloomberg.</w:t>
      </w:r>
    </w:p>
    <w:p>
      <w:pPr>
        <w:pStyle w:val="BodyText"/>
        <w:spacing w:line="295" w:lineRule="auto" w:before="5"/>
        <w:ind w:left="91" w:right="64"/>
        <w:jc w:val="center"/>
      </w:pPr>
      <w:r>
        <w:rPr>
          <w:w w:val="105"/>
        </w:rPr>
        <w:t>Generated</w:t>
      </w:r>
      <w:r>
        <w:rPr>
          <w:spacing w:val="-2"/>
          <w:w w:val="105"/>
        </w:rPr>
        <w:t> </w:t>
      </w:r>
      <w:r>
        <w:rPr>
          <w:w w:val="105"/>
        </w:rPr>
        <w:t>a</w:t>
      </w:r>
      <w:r>
        <w:rPr>
          <w:spacing w:val="-2"/>
          <w:w w:val="105"/>
        </w:rPr>
        <w:t> </w:t>
      </w:r>
      <w:r>
        <w:rPr>
          <w:w w:val="105"/>
        </w:rPr>
        <w:t>27.6%</w:t>
      </w:r>
      <w:r>
        <w:rPr>
          <w:spacing w:val="-2"/>
          <w:w w:val="105"/>
        </w:rPr>
        <w:t> </w:t>
      </w:r>
      <w:r>
        <w:rPr>
          <w:w w:val="105"/>
        </w:rPr>
        <w:t>net</w:t>
      </w:r>
      <w:r>
        <w:rPr>
          <w:spacing w:val="-2"/>
          <w:w w:val="105"/>
        </w:rPr>
        <w:t> </w:t>
      </w:r>
      <w:r>
        <w:rPr>
          <w:w w:val="105"/>
        </w:rPr>
        <w:t>IRR</w:t>
      </w:r>
      <w:r>
        <w:rPr>
          <w:spacing w:val="-2"/>
          <w:w w:val="105"/>
        </w:rPr>
        <w:t> </w:t>
      </w:r>
      <w:r>
        <w:rPr>
          <w:w w:val="105"/>
        </w:rPr>
        <w:t>on</w:t>
      </w:r>
      <w:r>
        <w:rPr>
          <w:spacing w:val="-2"/>
          <w:w w:val="105"/>
        </w:rPr>
        <w:t> </w:t>
      </w:r>
      <w:r>
        <w:rPr>
          <w:w w:val="105"/>
        </w:rPr>
        <w:t>a</w:t>
      </w:r>
      <w:r>
        <w:rPr>
          <w:spacing w:val="-2"/>
          <w:w w:val="105"/>
        </w:rPr>
        <w:t> </w:t>
      </w:r>
      <w:r>
        <w:rPr>
          <w:w w:val="105"/>
        </w:rPr>
        <w:t>realized</w:t>
      </w:r>
      <w:r>
        <w:rPr>
          <w:spacing w:val="-2"/>
          <w:w w:val="105"/>
        </w:rPr>
        <w:t> </w:t>
      </w:r>
      <w:r>
        <w:rPr>
          <w:w w:val="105"/>
        </w:rPr>
        <w:t>healthcare</w:t>
      </w:r>
      <w:r>
        <w:rPr>
          <w:spacing w:val="-2"/>
          <w:w w:val="105"/>
        </w:rPr>
        <w:t> </w:t>
      </w:r>
      <w:r>
        <w:rPr>
          <w:w w:val="105"/>
        </w:rPr>
        <w:t>investment</w:t>
      </w:r>
      <w:r>
        <w:rPr>
          <w:spacing w:val="-2"/>
          <w:w w:val="105"/>
        </w:rPr>
        <w:t> </w:t>
      </w:r>
      <w:r>
        <w:rPr>
          <w:w w:val="105"/>
        </w:rPr>
        <w:t>by</w:t>
      </w:r>
      <w:r>
        <w:rPr>
          <w:spacing w:val="-2"/>
          <w:w w:val="105"/>
        </w:rPr>
        <w:t> </w:t>
      </w:r>
      <w:r>
        <w:rPr>
          <w:w w:val="105"/>
        </w:rPr>
        <w:t>leading</w:t>
      </w:r>
      <w:r>
        <w:rPr>
          <w:spacing w:val="-2"/>
          <w:w w:val="105"/>
        </w:rPr>
        <w:t> </w:t>
      </w:r>
      <w:r>
        <w:rPr>
          <w:w w:val="105"/>
        </w:rPr>
        <w:t>quarterly operating</w:t>
      </w:r>
      <w:r>
        <w:rPr>
          <w:spacing w:val="-14"/>
          <w:w w:val="105"/>
        </w:rPr>
        <w:t> </w:t>
      </w:r>
      <w:r>
        <w:rPr>
          <w:w w:val="105"/>
        </w:rPr>
        <w:t>reviews</w:t>
      </w:r>
      <w:r>
        <w:rPr>
          <w:spacing w:val="-13"/>
          <w:w w:val="105"/>
        </w:rPr>
        <w:t> </w:t>
      </w:r>
      <w:r>
        <w:rPr>
          <w:w w:val="105"/>
        </w:rPr>
        <w:t>and</w:t>
      </w:r>
      <w:r>
        <w:rPr>
          <w:spacing w:val="-13"/>
          <w:w w:val="105"/>
        </w:rPr>
        <w:t> </w:t>
      </w:r>
      <w:r>
        <w:rPr>
          <w:w w:val="105"/>
        </w:rPr>
        <w:t>recommending</w:t>
      </w:r>
      <w:r>
        <w:rPr>
          <w:spacing w:val="-13"/>
          <w:w w:val="105"/>
        </w:rPr>
        <w:t> </w:t>
      </w:r>
      <w:r>
        <w:rPr>
          <w:w w:val="105"/>
        </w:rPr>
        <w:t>pricing</w:t>
      </w:r>
      <w:r>
        <w:rPr>
          <w:spacing w:val="-13"/>
          <w:w w:val="105"/>
        </w:rPr>
        <w:t> </w:t>
      </w:r>
      <w:r>
        <w:rPr>
          <w:w w:val="105"/>
        </w:rPr>
        <w:t>adjustments</w:t>
      </w:r>
      <w:r>
        <w:rPr>
          <w:spacing w:val="-13"/>
          <w:w w:val="105"/>
        </w:rPr>
        <w:t> </w:t>
      </w:r>
      <w:r>
        <w:rPr>
          <w:w w:val="105"/>
        </w:rPr>
        <w:t>that</w:t>
      </w:r>
      <w:r>
        <w:rPr>
          <w:spacing w:val="-13"/>
          <w:w w:val="105"/>
        </w:rPr>
        <w:t> </w:t>
      </w:r>
      <w:r>
        <w:rPr>
          <w:w w:val="105"/>
        </w:rPr>
        <w:t>lifted</w:t>
      </w:r>
      <w:r>
        <w:rPr>
          <w:spacing w:val="-14"/>
          <w:w w:val="105"/>
        </w:rPr>
        <w:t> </w:t>
      </w:r>
      <w:r>
        <w:rPr>
          <w:w w:val="105"/>
        </w:rPr>
        <w:t>margins</w:t>
      </w:r>
      <w:r>
        <w:rPr>
          <w:spacing w:val="-13"/>
          <w:w w:val="105"/>
        </w:rPr>
        <w:t> </w:t>
      </w:r>
      <w:r>
        <w:rPr>
          <w:w w:val="105"/>
        </w:rPr>
        <w:t>over</w:t>
      </w:r>
      <w:r>
        <w:rPr>
          <w:spacing w:val="-13"/>
          <w:w w:val="105"/>
        </w:rPr>
        <w:t> </w:t>
      </w:r>
      <w:r>
        <w:rPr>
          <w:w w:val="105"/>
        </w:rPr>
        <w:t>a</w:t>
      </w:r>
      <w:r>
        <w:rPr>
          <w:spacing w:val="-13"/>
          <w:w w:val="105"/>
        </w:rPr>
        <w:t> </w:t>
      </w:r>
      <w:r>
        <w:rPr>
          <w:w w:val="105"/>
        </w:rPr>
        <w:t>26-month</w:t>
      </w:r>
      <w:r>
        <w:rPr>
          <w:spacing w:val="-2"/>
          <w:w w:val="105"/>
        </w:rPr>
        <w:t> </w:t>
      </w:r>
      <w:r>
        <w:rPr>
          <w:w w:val="105"/>
        </w:rPr>
        <w:t>hold</w:t>
      </w:r>
      <w:r>
        <w:rPr>
          <w:spacing w:val="-2"/>
          <w:w w:val="105"/>
        </w:rPr>
        <w:t> </w:t>
      </w:r>
      <w:r>
        <w:rPr>
          <w:w w:val="105"/>
        </w:rPr>
        <w:t>period.</w:t>
      </w:r>
      <w:r>
        <w:rPr>
          <w:spacing w:val="-2"/>
          <w:w w:val="105"/>
        </w:rPr>
        <w:t> </w:t>
      </w:r>
      <w:r>
        <w:rPr>
          <w:w w:val="105"/>
        </w:rPr>
        <w:t>Prepares</w:t>
      </w:r>
      <w:r>
        <w:rPr>
          <w:spacing w:val="-2"/>
          <w:w w:val="105"/>
        </w:rPr>
        <w:t> </w:t>
      </w:r>
      <w:r>
        <w:rPr>
          <w:w w:val="105"/>
        </w:rPr>
        <w:t>quarterly</w:t>
      </w:r>
      <w:r>
        <w:rPr>
          <w:spacing w:val="-2"/>
          <w:w w:val="105"/>
        </w:rPr>
        <w:t> </w:t>
      </w:r>
      <w:r>
        <w:rPr>
          <w:w w:val="105"/>
        </w:rPr>
        <w:t>portfolio</w:t>
      </w:r>
      <w:r>
        <w:rPr>
          <w:spacing w:val="-2"/>
          <w:w w:val="105"/>
        </w:rPr>
        <w:t> </w:t>
      </w:r>
      <w:r>
        <w:rPr>
          <w:w w:val="105"/>
        </w:rPr>
        <w:t>review</w:t>
      </w:r>
      <w:r>
        <w:rPr>
          <w:spacing w:val="-2"/>
          <w:w w:val="105"/>
        </w:rPr>
        <w:t> </w:t>
      </w:r>
      <w:r>
        <w:rPr>
          <w:w w:val="105"/>
        </w:rPr>
        <w:t>materials</w:t>
      </w:r>
      <w:r>
        <w:rPr>
          <w:spacing w:val="-2"/>
          <w:w w:val="105"/>
        </w:rPr>
        <w:t> </w:t>
      </w:r>
      <w:r>
        <w:rPr>
          <w:w w:val="105"/>
        </w:rPr>
        <w:t>covering</w:t>
      </w:r>
      <w:r>
        <w:rPr>
          <w:spacing w:val="-2"/>
          <w:w w:val="105"/>
        </w:rPr>
        <w:t> </w:t>
      </w:r>
      <w:r>
        <w:rPr>
          <w:w w:val="105"/>
        </w:rPr>
        <w:t>$296M</w:t>
      </w:r>
      <w:r>
        <w:rPr>
          <w:spacing w:val="-2"/>
          <w:w w:val="105"/>
        </w:rPr>
        <w:t> </w:t>
      </w:r>
      <w:r>
        <w:rPr>
          <w:w w:val="105"/>
        </w:rPr>
        <w:t>in aggregate</w:t>
      </w:r>
      <w:r>
        <w:rPr>
          <w:spacing w:val="-3"/>
          <w:w w:val="105"/>
        </w:rPr>
        <w:t> </w:t>
      </w:r>
      <w:r>
        <w:rPr>
          <w:w w:val="105"/>
        </w:rPr>
        <w:t>enterprise</w:t>
      </w:r>
      <w:r>
        <w:rPr>
          <w:spacing w:val="-3"/>
          <w:w w:val="105"/>
        </w:rPr>
        <w:t> </w:t>
      </w:r>
      <w:r>
        <w:rPr>
          <w:w w:val="105"/>
        </w:rPr>
        <w:t>value</w:t>
      </w:r>
      <w:r>
        <w:rPr>
          <w:spacing w:val="-3"/>
          <w:w w:val="105"/>
        </w:rPr>
        <w:t> </w:t>
      </w:r>
      <w:r>
        <w:rPr>
          <w:w w:val="105"/>
        </w:rPr>
        <w:t>across</w:t>
      </w:r>
      <w:r>
        <w:rPr>
          <w:spacing w:val="-3"/>
          <w:w w:val="105"/>
        </w:rPr>
        <w:t> </w:t>
      </w:r>
      <w:r>
        <w:rPr>
          <w:w w:val="105"/>
        </w:rPr>
        <w:t>consumer</w:t>
      </w:r>
      <w:r>
        <w:rPr>
          <w:spacing w:val="-3"/>
          <w:w w:val="105"/>
        </w:rPr>
        <w:t> </w:t>
      </w:r>
      <w:r>
        <w:rPr>
          <w:w w:val="105"/>
        </w:rPr>
        <w:t>services,</w:t>
      </w:r>
      <w:r>
        <w:rPr>
          <w:spacing w:val="-3"/>
          <w:w w:val="105"/>
        </w:rPr>
        <w:t> </w:t>
      </w:r>
      <w:r>
        <w:rPr>
          <w:w w:val="105"/>
        </w:rPr>
        <w:t>light</w:t>
      </w:r>
      <w:r>
        <w:rPr>
          <w:spacing w:val="-3"/>
          <w:w w:val="105"/>
        </w:rPr>
        <w:t> </w:t>
      </w:r>
      <w:r>
        <w:rPr>
          <w:w w:val="105"/>
        </w:rPr>
        <w:t>industrial,</w:t>
      </w:r>
      <w:r>
        <w:rPr>
          <w:spacing w:val="-3"/>
          <w:w w:val="105"/>
        </w:rPr>
        <w:t> </w:t>
      </w:r>
      <w:r>
        <w:rPr>
          <w:w w:val="105"/>
        </w:rPr>
        <w:t>and</w:t>
      </w:r>
      <w:r>
        <w:rPr>
          <w:spacing w:val="-3"/>
          <w:w w:val="105"/>
        </w:rPr>
        <w:t> </w:t>
      </w:r>
      <w:r>
        <w:rPr>
          <w:w w:val="105"/>
        </w:rPr>
        <w:t>healthcare </w:t>
      </w:r>
      <w:r>
        <w:rPr>
          <w:spacing w:val="-2"/>
          <w:w w:val="105"/>
        </w:rPr>
        <w:t>sectors.</w:t>
      </w:r>
    </w:p>
    <w:p>
      <w:pPr>
        <w:pStyle w:val="BodyText"/>
        <w:spacing w:before="7"/>
        <w:rPr>
          <w:sz w:val="9"/>
        </w:rPr>
      </w:pPr>
    </w:p>
    <w:p>
      <w:pPr>
        <w:spacing w:line="30" w:lineRule="exact"/>
        <w:ind w:left="-120" w:right="0" w:firstLine="0"/>
        <w:rPr>
          <w:position w:val="0"/>
          <w:sz w:val="2"/>
        </w:rPr>
      </w:pPr>
      <w:r>
        <w:rPr>
          <w:position w:val="0"/>
          <w:sz w:val="2"/>
        </w:rPr>
        <mc:AlternateContent>
          <mc:Choice Requires="wps">
            <w:drawing>
              <wp:inline distT="0" distB="0" distL="0" distR="0">
                <wp:extent cx="4714875" cy="19050"/>
                <wp:effectExtent l="0" t="0" r="0" b="0"/>
                <wp:docPr id="18" name="Group 1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8" name="Group 18"/>
                      <wpg:cNvGrpSpPr/>
                      <wpg:grpSpPr>
                        <a:xfrm>
                          <a:off x="0" y="0"/>
                          <a:ext cx="4714875" cy="19050"/>
                          <a:chExt cx="4714875" cy="19050"/>
                        </a:xfrm>
                      </wpg:grpSpPr>
                      <wps:wsp>
                        <wps:cNvPr id="19" name="Graphic 19"/>
                        <wps:cNvSpPr/>
                        <wps:spPr>
                          <a:xfrm>
                            <a:off x="0" y="0"/>
                            <a:ext cx="4714875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14875" h="19050">
                                <a:moveTo>
                                  <a:pt x="4714874" y="19049"/>
                                </a:moveTo>
                                <a:lnTo>
                                  <a:pt x="0" y="19049"/>
                                </a:lnTo>
                                <a:lnTo>
                                  <a:pt x="0" y="0"/>
                                </a:lnTo>
                                <a:lnTo>
                                  <a:pt x="4714874" y="0"/>
                                </a:lnTo>
                                <a:lnTo>
                                  <a:pt x="4714874" y="190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31B4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371.25pt;height:1.5pt;mso-position-horizontal-relative:char;mso-position-vertical-relative:line" id="docshapegroup5" coordorigin="0,0" coordsize="7425,30">
                <v:rect style="position:absolute;left:0;top:0;width:7425;height:30" id="docshape6" filled="true" fillcolor="#731b46" stroked="false">
                  <v:fill type="solid"/>
                </v:rect>
              </v:group>
            </w:pict>
          </mc:Fallback>
        </mc:AlternateContent>
      </w:r>
      <w:r>
        <w:rPr>
          <w:position w:val="0"/>
          <w:sz w:val="2"/>
        </w:rPr>
      </w:r>
    </w:p>
    <w:p>
      <w:pPr>
        <w:pStyle w:val="BodyText"/>
        <w:spacing w:before="130"/>
      </w:pPr>
    </w:p>
    <w:p>
      <w:pPr>
        <w:pStyle w:val="Heading1"/>
      </w:pPr>
      <w:r>
        <w:rPr>
          <w:smallCaps/>
          <w:color w:val="731B46"/>
          <w:spacing w:val="-2"/>
          <w:w w:val="105"/>
        </w:rPr>
        <w:t>Professional</w:t>
      </w:r>
      <w:r>
        <w:rPr>
          <w:smallCaps/>
          <w:color w:val="731B46"/>
          <w:spacing w:val="6"/>
          <w:w w:val="105"/>
        </w:rPr>
        <w:t> </w:t>
      </w:r>
      <w:r>
        <w:rPr>
          <w:smallCaps/>
          <w:color w:val="731B46"/>
          <w:spacing w:val="-2"/>
          <w:w w:val="105"/>
        </w:rPr>
        <w:t>Experience</w:t>
      </w:r>
    </w:p>
    <w:p>
      <w:pPr>
        <w:pStyle w:val="BodyText"/>
        <w:spacing w:before="40"/>
        <w:rPr>
          <w:b/>
          <w:sz w:val="16"/>
        </w:rPr>
      </w:pPr>
    </w:p>
    <w:p>
      <w:pPr>
        <w:spacing w:before="0"/>
        <w:ind w:left="362" w:right="0" w:firstLine="0"/>
        <w:jc w:val="left"/>
        <w:rPr>
          <w:b/>
          <w:sz w:val="18"/>
        </w:rPr>
      </w:pPr>
      <w:r>
        <w:rPr>
          <w:b/>
          <w:w w:val="105"/>
          <w:sz w:val="18"/>
        </w:rPr>
        <w:t>Associate</w:t>
      </w:r>
      <w:r>
        <w:rPr>
          <w:b/>
          <w:spacing w:val="-12"/>
          <w:w w:val="105"/>
          <w:sz w:val="18"/>
        </w:rPr>
        <w:t> </w:t>
      </w:r>
      <w:r>
        <w:rPr>
          <w:b/>
          <w:w w:val="105"/>
          <w:sz w:val="18"/>
        </w:rPr>
        <w:t>|</w:t>
      </w:r>
      <w:r>
        <w:rPr>
          <w:b/>
          <w:spacing w:val="-11"/>
          <w:w w:val="105"/>
          <w:sz w:val="18"/>
        </w:rPr>
        <w:t> </w:t>
      </w:r>
      <w:r>
        <w:rPr>
          <w:b/>
          <w:w w:val="105"/>
          <w:sz w:val="18"/>
        </w:rPr>
        <w:t>2023</w:t>
      </w:r>
      <w:r>
        <w:rPr>
          <w:b/>
          <w:spacing w:val="-11"/>
          <w:w w:val="105"/>
          <w:sz w:val="18"/>
        </w:rPr>
        <w:t> </w:t>
      </w:r>
      <w:r>
        <w:rPr>
          <w:b/>
          <w:w w:val="105"/>
          <w:sz w:val="18"/>
        </w:rPr>
        <w:t>-</w:t>
      </w:r>
      <w:r>
        <w:rPr>
          <w:b/>
          <w:spacing w:val="-11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Present</w:t>
      </w:r>
    </w:p>
    <w:p>
      <w:pPr>
        <w:pStyle w:val="BodyText"/>
        <w:spacing w:before="33"/>
        <w:ind w:left="362"/>
      </w:pPr>
      <w:r>
        <w:rPr/>
        <w:t>Osage</w:t>
      </w:r>
      <w:r>
        <w:rPr>
          <w:spacing w:val="10"/>
        </w:rPr>
        <w:t> </w:t>
      </w:r>
      <w:r>
        <w:rPr/>
        <w:t>Hollow</w:t>
      </w:r>
      <w:r>
        <w:rPr>
          <w:spacing w:val="10"/>
        </w:rPr>
        <w:t> </w:t>
      </w:r>
      <w:r>
        <w:rPr/>
        <w:t>Capital</w:t>
      </w:r>
      <w:r>
        <w:rPr>
          <w:spacing w:val="10"/>
        </w:rPr>
        <w:t> </w:t>
      </w:r>
      <w:r>
        <w:rPr/>
        <w:t>Partners,</w:t>
      </w:r>
      <w:r>
        <w:rPr>
          <w:spacing w:val="10"/>
        </w:rPr>
        <w:t> </w:t>
      </w:r>
      <w:r>
        <w:rPr/>
        <w:t>Kansas</w:t>
      </w:r>
      <w:r>
        <w:rPr>
          <w:spacing w:val="10"/>
        </w:rPr>
        <w:t> </w:t>
      </w:r>
      <w:r>
        <w:rPr/>
        <w:t>City,</w:t>
      </w:r>
      <w:r>
        <w:rPr>
          <w:spacing w:val="10"/>
        </w:rPr>
        <w:t> </w:t>
      </w:r>
      <w:r>
        <w:rPr>
          <w:spacing w:val="-5"/>
        </w:rPr>
        <w:t>MO</w:t>
      </w:r>
    </w:p>
    <w:p>
      <w:pPr>
        <w:pStyle w:val="BodyText"/>
        <w:spacing w:before="21"/>
      </w:pPr>
    </w:p>
    <w:p>
      <w:pPr>
        <w:pStyle w:val="BodyText"/>
        <w:tabs>
          <w:tab w:pos="1050" w:val="left" w:leader="none"/>
        </w:tabs>
        <w:spacing w:line="273" w:lineRule="auto"/>
        <w:ind w:left="1050" w:right="808" w:hanging="300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20" name="Image 2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" name="Image 20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Monitored</w:t>
      </w:r>
      <w:r>
        <w:rPr>
          <w:spacing w:val="-14"/>
          <w:w w:val="105"/>
        </w:rPr>
        <w:t> </w:t>
      </w:r>
      <w:r>
        <w:rPr>
          <w:w w:val="105"/>
        </w:rPr>
        <w:t>23</w:t>
      </w:r>
      <w:r>
        <w:rPr>
          <w:spacing w:val="-13"/>
          <w:w w:val="105"/>
        </w:rPr>
        <w:t> </w:t>
      </w:r>
      <w:r>
        <w:rPr>
          <w:w w:val="105"/>
        </w:rPr>
        <w:t>portfolio</w:t>
      </w:r>
      <w:r>
        <w:rPr>
          <w:spacing w:val="-13"/>
          <w:w w:val="105"/>
        </w:rPr>
        <w:t> </w:t>
      </w:r>
      <w:r>
        <w:rPr>
          <w:w w:val="105"/>
        </w:rPr>
        <w:t>companies</w:t>
      </w:r>
      <w:r>
        <w:rPr>
          <w:spacing w:val="-13"/>
          <w:w w:val="105"/>
        </w:rPr>
        <w:t> </w:t>
      </w:r>
      <w:r>
        <w:rPr>
          <w:w w:val="105"/>
        </w:rPr>
        <w:t>across</w:t>
      </w:r>
      <w:r>
        <w:rPr>
          <w:spacing w:val="-13"/>
          <w:w w:val="105"/>
        </w:rPr>
        <w:t> </w:t>
      </w:r>
      <w:r>
        <w:rPr>
          <w:w w:val="105"/>
        </w:rPr>
        <w:t>consumer</w:t>
      </w:r>
      <w:r>
        <w:rPr>
          <w:spacing w:val="-13"/>
          <w:w w:val="105"/>
        </w:rPr>
        <w:t> </w:t>
      </w:r>
      <w:r>
        <w:rPr>
          <w:w w:val="105"/>
        </w:rPr>
        <w:t>services</w:t>
      </w:r>
      <w:r>
        <w:rPr>
          <w:spacing w:val="-13"/>
          <w:w w:val="105"/>
        </w:rPr>
        <w:t> </w:t>
      </w:r>
      <w:r>
        <w:rPr>
          <w:w w:val="105"/>
        </w:rPr>
        <w:t>and</w:t>
      </w:r>
      <w:r>
        <w:rPr>
          <w:spacing w:val="-14"/>
          <w:w w:val="105"/>
        </w:rPr>
        <w:t> </w:t>
      </w:r>
      <w:r>
        <w:rPr>
          <w:w w:val="105"/>
        </w:rPr>
        <w:t>light industrial sectors, tracking monthly KPIs in Excel and presenting variance analyses to the investment team within 72 hours of each reporting cycle.</w:t>
      </w:r>
    </w:p>
    <w:p>
      <w:pPr>
        <w:pStyle w:val="BodyText"/>
        <w:tabs>
          <w:tab w:pos="1050" w:val="left" w:leader="none"/>
        </w:tabs>
        <w:spacing w:line="268" w:lineRule="auto" w:before="91"/>
        <w:ind w:left="1050" w:right="697" w:hanging="300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21" name="Image 2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1" name="Image 21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hAnsi="Times New Roman"/>
          <w:sz w:val="20"/>
        </w:rPr>
        <w:tab/>
      </w:r>
      <w:r>
        <w:rPr>
          <w:spacing w:val="-2"/>
          <w:w w:val="105"/>
        </w:rPr>
        <w:t>Coordinated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11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third-party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advisors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including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legal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counsel,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accounting </w:t>
      </w:r>
      <w:r>
        <w:rPr>
          <w:w w:val="105"/>
        </w:rPr>
        <w:t>ﬁrms, and environmental consultants during a platform acquisition, completing all workstreams 9 days ahead of the target close date.</w:t>
      </w:r>
    </w:p>
    <w:p>
      <w:pPr>
        <w:pStyle w:val="BodyText"/>
        <w:tabs>
          <w:tab w:pos="1050" w:val="left" w:leader="none"/>
        </w:tabs>
        <w:spacing w:line="268" w:lineRule="auto" w:before="100"/>
        <w:ind w:left="1050" w:right="983" w:hanging="300"/>
      </w:pPr>
      <w:r>
        <w:rPr>
          <w:position w:val="3"/>
        </w:rPr>
        <w:drawing>
          <wp:inline distT="0" distB="0" distL="0" distR="0">
            <wp:extent cx="47624" cy="38099"/>
            <wp:effectExtent l="0" t="0" r="0" b="0"/>
            <wp:docPr id="22" name="Image 2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2" name="Image 22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38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3"/>
        </w:rPr>
      </w:r>
      <w:r>
        <w:rPr>
          <w:rFonts w:ascii="Times New Roman"/>
          <w:sz w:val="20"/>
        </w:rPr>
        <w:tab/>
      </w:r>
      <w:r>
        <w:rPr>
          <w:w w:val="105"/>
        </w:rPr>
        <w:t>Generated</w:t>
      </w:r>
      <w:r>
        <w:rPr>
          <w:spacing w:val="-13"/>
          <w:w w:val="105"/>
        </w:rPr>
        <w:t> </w:t>
      </w:r>
      <w:r>
        <w:rPr>
          <w:w w:val="105"/>
        </w:rPr>
        <w:t>a</w:t>
      </w:r>
      <w:r>
        <w:rPr>
          <w:spacing w:val="-13"/>
          <w:w w:val="105"/>
        </w:rPr>
        <w:t> </w:t>
      </w:r>
      <w:r>
        <w:rPr>
          <w:w w:val="105"/>
        </w:rPr>
        <w:t>27.6%</w:t>
      </w:r>
      <w:r>
        <w:rPr>
          <w:spacing w:val="-13"/>
          <w:w w:val="105"/>
        </w:rPr>
        <w:t> </w:t>
      </w:r>
      <w:r>
        <w:rPr>
          <w:w w:val="105"/>
        </w:rPr>
        <w:t>net</w:t>
      </w:r>
      <w:r>
        <w:rPr>
          <w:spacing w:val="-13"/>
          <w:w w:val="105"/>
        </w:rPr>
        <w:t> </w:t>
      </w:r>
      <w:r>
        <w:rPr>
          <w:w w:val="105"/>
        </w:rPr>
        <w:t>IRR</w:t>
      </w:r>
      <w:r>
        <w:rPr>
          <w:spacing w:val="-13"/>
          <w:w w:val="105"/>
        </w:rPr>
        <w:t> </w:t>
      </w:r>
      <w:r>
        <w:rPr>
          <w:w w:val="105"/>
        </w:rPr>
        <w:t>on</w:t>
      </w:r>
      <w:r>
        <w:rPr>
          <w:spacing w:val="-13"/>
          <w:w w:val="105"/>
        </w:rPr>
        <w:t> </w:t>
      </w:r>
      <w:r>
        <w:rPr>
          <w:w w:val="105"/>
        </w:rPr>
        <w:t>a</w:t>
      </w:r>
      <w:r>
        <w:rPr>
          <w:spacing w:val="-13"/>
          <w:w w:val="105"/>
        </w:rPr>
        <w:t> </w:t>
      </w:r>
      <w:r>
        <w:rPr>
          <w:w w:val="105"/>
        </w:rPr>
        <w:t>realized</w:t>
      </w:r>
      <w:r>
        <w:rPr>
          <w:spacing w:val="-13"/>
          <w:w w:val="105"/>
        </w:rPr>
        <w:t> </w:t>
      </w:r>
      <w:r>
        <w:rPr>
          <w:w w:val="105"/>
        </w:rPr>
        <w:t>healthcare</w:t>
      </w:r>
      <w:r>
        <w:rPr>
          <w:spacing w:val="-13"/>
          <w:w w:val="105"/>
        </w:rPr>
        <w:t> </w:t>
      </w:r>
      <w:r>
        <w:rPr>
          <w:w w:val="105"/>
        </w:rPr>
        <w:t>investment</w:t>
      </w:r>
      <w:r>
        <w:rPr>
          <w:spacing w:val="-13"/>
          <w:w w:val="105"/>
        </w:rPr>
        <w:t> </w:t>
      </w:r>
      <w:r>
        <w:rPr>
          <w:w w:val="105"/>
        </w:rPr>
        <w:t>by leading quarterly operating reviews and recommending pricing adjustments that lifted margins over a 26-month hold period.</w:t>
      </w:r>
    </w:p>
    <w:p>
      <w:pPr>
        <w:pStyle w:val="BodyText"/>
        <w:tabs>
          <w:tab w:pos="1050" w:val="left" w:leader="none"/>
        </w:tabs>
        <w:spacing w:line="268" w:lineRule="auto" w:before="99"/>
        <w:ind w:left="1050" w:right="1282" w:hanging="300"/>
        <w:jc w:val="both"/>
      </w:pPr>
      <w:r>
        <w:rPr>
          <w:position w:val="3"/>
        </w:rPr>
        <w:drawing>
          <wp:inline distT="0" distB="0" distL="0" distR="0">
            <wp:extent cx="47624" cy="38099"/>
            <wp:effectExtent l="0" t="0" r="0" b="0"/>
            <wp:docPr id="23" name="Image 2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3" name="Image 23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38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3"/>
        </w:rPr>
      </w:r>
      <w:r>
        <w:rPr>
          <w:rFonts w:ascii="Times New Roman" w:hAnsi="Times New Roman"/>
          <w:sz w:val="20"/>
        </w:rPr>
        <w:tab/>
      </w:r>
      <w:r>
        <w:rPr>
          <w:w w:val="105"/>
        </w:rPr>
        <w:t>Prepared</w:t>
      </w:r>
      <w:r>
        <w:rPr>
          <w:spacing w:val="-14"/>
          <w:w w:val="105"/>
        </w:rPr>
        <w:t> </w:t>
      </w:r>
      <w:r>
        <w:rPr>
          <w:w w:val="105"/>
        </w:rPr>
        <w:t>quarterly</w:t>
      </w:r>
      <w:r>
        <w:rPr>
          <w:spacing w:val="-13"/>
          <w:w w:val="105"/>
        </w:rPr>
        <w:t> </w:t>
      </w:r>
      <w:r>
        <w:rPr>
          <w:w w:val="105"/>
        </w:rPr>
        <w:t>portfolio</w:t>
      </w:r>
      <w:r>
        <w:rPr>
          <w:spacing w:val="-13"/>
          <w:w w:val="105"/>
        </w:rPr>
        <w:t> </w:t>
      </w:r>
      <w:r>
        <w:rPr>
          <w:w w:val="105"/>
        </w:rPr>
        <w:t>review</w:t>
      </w:r>
      <w:r>
        <w:rPr>
          <w:spacing w:val="-13"/>
          <w:w w:val="105"/>
        </w:rPr>
        <w:t> </w:t>
      </w:r>
      <w:r>
        <w:rPr>
          <w:w w:val="105"/>
        </w:rPr>
        <w:t>materials</w:t>
      </w:r>
      <w:r>
        <w:rPr>
          <w:spacing w:val="-13"/>
          <w:w w:val="105"/>
        </w:rPr>
        <w:t> </w:t>
      </w:r>
      <w:r>
        <w:rPr>
          <w:w w:val="105"/>
        </w:rPr>
        <w:t>covering</w:t>
      </w:r>
      <w:r>
        <w:rPr>
          <w:spacing w:val="-13"/>
          <w:w w:val="105"/>
        </w:rPr>
        <w:t> </w:t>
      </w:r>
      <w:r>
        <w:rPr>
          <w:w w:val="105"/>
        </w:rPr>
        <w:t>$296M</w:t>
      </w:r>
      <w:r>
        <w:rPr>
          <w:spacing w:val="-13"/>
          <w:w w:val="105"/>
        </w:rPr>
        <w:t> </w:t>
      </w:r>
      <w:r>
        <w:rPr>
          <w:w w:val="105"/>
        </w:rPr>
        <w:t>in </w:t>
      </w:r>
      <w:r>
        <w:rPr>
          <w:spacing w:val="-2"/>
          <w:w w:val="105"/>
        </w:rPr>
        <w:t>aggregate enterprise value, consolidating ﬁnancial data from 23 </w:t>
      </w:r>
      <w:r>
        <w:rPr>
          <w:w w:val="105"/>
        </w:rPr>
        <w:t>companies into standardized reporting templates.</w:t>
      </w:r>
    </w:p>
    <w:p>
      <w:pPr>
        <w:spacing w:before="205"/>
        <w:ind w:left="362" w:right="0" w:firstLine="0"/>
        <w:jc w:val="left"/>
        <w:rPr>
          <w:b/>
          <w:sz w:val="18"/>
        </w:rPr>
      </w:pPr>
      <w:r>
        <w:rPr>
          <w:b/>
          <w:w w:val="105"/>
          <w:sz w:val="18"/>
        </w:rPr>
        <w:t>Analyst</w:t>
      </w:r>
      <w:r>
        <w:rPr>
          <w:b/>
          <w:spacing w:val="-10"/>
          <w:w w:val="105"/>
          <w:sz w:val="18"/>
        </w:rPr>
        <w:t> </w:t>
      </w:r>
      <w:r>
        <w:rPr>
          <w:b/>
          <w:w w:val="105"/>
          <w:sz w:val="18"/>
        </w:rPr>
        <w:t>|</w:t>
      </w:r>
      <w:r>
        <w:rPr>
          <w:b/>
          <w:spacing w:val="-10"/>
          <w:w w:val="105"/>
          <w:sz w:val="18"/>
        </w:rPr>
        <w:t> </w:t>
      </w:r>
      <w:r>
        <w:rPr>
          <w:b/>
          <w:w w:val="105"/>
          <w:sz w:val="18"/>
        </w:rPr>
        <w:t>2021</w:t>
      </w:r>
      <w:r>
        <w:rPr>
          <w:b/>
          <w:spacing w:val="-9"/>
          <w:w w:val="105"/>
          <w:sz w:val="18"/>
        </w:rPr>
        <w:t> </w:t>
      </w:r>
      <w:r>
        <w:rPr>
          <w:b/>
          <w:w w:val="105"/>
          <w:sz w:val="18"/>
        </w:rPr>
        <w:t>-</w:t>
      </w:r>
      <w:r>
        <w:rPr>
          <w:b/>
          <w:spacing w:val="-10"/>
          <w:w w:val="105"/>
          <w:sz w:val="18"/>
        </w:rPr>
        <w:t> </w:t>
      </w:r>
      <w:r>
        <w:rPr>
          <w:b/>
          <w:spacing w:val="-4"/>
          <w:w w:val="105"/>
          <w:sz w:val="18"/>
        </w:rPr>
        <w:t>2023</w:t>
      </w:r>
    </w:p>
    <w:p>
      <w:pPr>
        <w:pStyle w:val="BodyText"/>
        <w:spacing w:before="33"/>
        <w:ind w:left="362"/>
      </w:pPr>
      <w:r>
        <w:rPr>
          <w:spacing w:val="-2"/>
          <w:w w:val="105"/>
        </w:rPr>
        <w:t>Blackjack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Creek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Equity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Group,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St.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Louis,</w:t>
      </w:r>
      <w:r>
        <w:rPr>
          <w:spacing w:val="-4"/>
          <w:w w:val="105"/>
        </w:rPr>
        <w:t> </w:t>
      </w:r>
      <w:r>
        <w:rPr>
          <w:spacing w:val="-5"/>
          <w:w w:val="105"/>
        </w:rPr>
        <w:t>MO</w:t>
      </w:r>
    </w:p>
    <w:p>
      <w:pPr>
        <w:pStyle w:val="BodyText"/>
        <w:spacing w:before="21"/>
      </w:pPr>
    </w:p>
    <w:p>
      <w:pPr>
        <w:pStyle w:val="BodyText"/>
        <w:tabs>
          <w:tab w:pos="1050" w:val="left" w:leader="none"/>
        </w:tabs>
        <w:spacing w:line="268" w:lineRule="auto"/>
        <w:ind w:left="1050" w:right="1241" w:hanging="300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24" name="Image 2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4" name="Image 24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Monitored</w:t>
      </w:r>
      <w:r>
        <w:rPr>
          <w:spacing w:val="-14"/>
          <w:w w:val="105"/>
        </w:rPr>
        <w:t> </w:t>
      </w:r>
      <w:r>
        <w:rPr>
          <w:w w:val="105"/>
        </w:rPr>
        <w:t>14</w:t>
      </w:r>
      <w:r>
        <w:rPr>
          <w:spacing w:val="-13"/>
          <w:w w:val="105"/>
        </w:rPr>
        <w:t> </w:t>
      </w:r>
      <w:r>
        <w:rPr>
          <w:w w:val="105"/>
        </w:rPr>
        <w:t>portfolio</w:t>
      </w:r>
      <w:r>
        <w:rPr>
          <w:spacing w:val="-13"/>
          <w:w w:val="105"/>
        </w:rPr>
        <w:t> </w:t>
      </w:r>
      <w:r>
        <w:rPr>
          <w:w w:val="105"/>
        </w:rPr>
        <w:t>companies</w:t>
      </w:r>
      <w:r>
        <w:rPr>
          <w:spacing w:val="-13"/>
          <w:w w:val="105"/>
        </w:rPr>
        <w:t> </w:t>
      </w:r>
      <w:r>
        <w:rPr>
          <w:w w:val="105"/>
        </w:rPr>
        <w:t>on</w:t>
      </w:r>
      <w:r>
        <w:rPr>
          <w:spacing w:val="-13"/>
          <w:w w:val="105"/>
        </w:rPr>
        <w:t> </w:t>
      </w:r>
      <w:r>
        <w:rPr>
          <w:w w:val="105"/>
        </w:rPr>
        <w:t>a</w:t>
      </w:r>
      <w:r>
        <w:rPr>
          <w:spacing w:val="-13"/>
          <w:w w:val="105"/>
        </w:rPr>
        <w:t> </w:t>
      </w:r>
      <w:r>
        <w:rPr>
          <w:w w:val="105"/>
        </w:rPr>
        <w:t>weekly</w:t>
      </w:r>
      <w:r>
        <w:rPr>
          <w:spacing w:val="-13"/>
          <w:w w:val="105"/>
        </w:rPr>
        <w:t> </w:t>
      </w:r>
      <w:r>
        <w:rPr>
          <w:w w:val="105"/>
        </w:rPr>
        <w:t>basis</w:t>
      </w:r>
      <w:r>
        <w:rPr>
          <w:spacing w:val="-14"/>
          <w:w w:val="105"/>
        </w:rPr>
        <w:t> </w:t>
      </w:r>
      <w:r>
        <w:rPr>
          <w:w w:val="105"/>
        </w:rPr>
        <w:t>using</w:t>
      </w:r>
      <w:r>
        <w:rPr>
          <w:spacing w:val="-13"/>
          <w:w w:val="105"/>
        </w:rPr>
        <w:t> </w:t>
      </w:r>
      <w:r>
        <w:rPr>
          <w:w w:val="105"/>
        </w:rPr>
        <w:t>Excel dashboards,</w:t>
      </w:r>
      <w:r>
        <w:rPr>
          <w:spacing w:val="-4"/>
          <w:w w:val="105"/>
        </w:rPr>
        <w:t> </w:t>
      </w:r>
      <w:r>
        <w:rPr>
          <w:w w:val="105"/>
        </w:rPr>
        <w:t>identifying</w:t>
      </w:r>
      <w:r>
        <w:rPr>
          <w:spacing w:val="-4"/>
          <w:w w:val="105"/>
        </w:rPr>
        <w:t> </w:t>
      </w:r>
      <w:r>
        <w:rPr>
          <w:w w:val="105"/>
        </w:rPr>
        <w:t>3</w:t>
      </w:r>
      <w:r>
        <w:rPr>
          <w:spacing w:val="-4"/>
          <w:w w:val="105"/>
        </w:rPr>
        <w:t> </w:t>
      </w:r>
      <w:r>
        <w:rPr>
          <w:w w:val="105"/>
        </w:rPr>
        <w:t>underperforming</w:t>
      </w:r>
      <w:r>
        <w:rPr>
          <w:spacing w:val="-4"/>
          <w:w w:val="105"/>
        </w:rPr>
        <w:t> </w:t>
      </w:r>
      <w:r>
        <w:rPr>
          <w:w w:val="105"/>
        </w:rPr>
        <w:t>assets</w:t>
      </w:r>
      <w:r>
        <w:rPr>
          <w:spacing w:val="-4"/>
          <w:w w:val="105"/>
        </w:rPr>
        <w:t> </w:t>
      </w:r>
      <w:r>
        <w:rPr>
          <w:w w:val="105"/>
        </w:rPr>
        <w:t>that</w:t>
      </w:r>
      <w:r>
        <w:rPr>
          <w:spacing w:val="-4"/>
          <w:w w:val="105"/>
        </w:rPr>
        <w:t> </w:t>
      </w:r>
      <w:r>
        <w:rPr>
          <w:w w:val="105"/>
        </w:rPr>
        <w:t>required operational intervention within 45 days of trend detection.</w:t>
      </w:r>
    </w:p>
    <w:p>
      <w:pPr>
        <w:pStyle w:val="BodyText"/>
        <w:tabs>
          <w:tab w:pos="1050" w:val="left" w:leader="none"/>
        </w:tabs>
        <w:spacing w:line="268" w:lineRule="auto" w:before="99"/>
        <w:ind w:left="1050" w:right="632" w:hanging="300"/>
        <w:jc w:val="both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25" name="Image 2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5" name="Image 25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Coordinated</w:t>
      </w:r>
      <w:r>
        <w:rPr>
          <w:spacing w:val="-14"/>
          <w:w w:val="105"/>
        </w:rPr>
        <w:t> </w:t>
      </w:r>
      <w:r>
        <w:rPr>
          <w:w w:val="105"/>
        </w:rPr>
        <w:t>8</w:t>
      </w:r>
      <w:r>
        <w:rPr>
          <w:spacing w:val="-13"/>
          <w:w w:val="105"/>
        </w:rPr>
        <w:t> </w:t>
      </w:r>
      <w:r>
        <w:rPr>
          <w:w w:val="105"/>
        </w:rPr>
        <w:t>third-party</w:t>
      </w:r>
      <w:r>
        <w:rPr>
          <w:spacing w:val="-13"/>
          <w:w w:val="105"/>
        </w:rPr>
        <w:t> </w:t>
      </w:r>
      <w:r>
        <w:rPr>
          <w:w w:val="105"/>
        </w:rPr>
        <w:t>advisors</w:t>
      </w:r>
      <w:r>
        <w:rPr>
          <w:spacing w:val="-13"/>
          <w:w w:val="105"/>
        </w:rPr>
        <w:t> </w:t>
      </w:r>
      <w:r>
        <w:rPr>
          <w:w w:val="105"/>
        </w:rPr>
        <w:t>during</w:t>
      </w:r>
      <w:r>
        <w:rPr>
          <w:spacing w:val="-13"/>
          <w:w w:val="105"/>
        </w:rPr>
        <w:t> </w:t>
      </w:r>
      <w:r>
        <w:rPr>
          <w:w w:val="105"/>
        </w:rPr>
        <w:t>a</w:t>
      </w:r>
      <w:r>
        <w:rPr>
          <w:spacing w:val="-13"/>
          <w:w w:val="105"/>
        </w:rPr>
        <w:t> </w:t>
      </w:r>
      <w:r>
        <w:rPr>
          <w:w w:val="105"/>
        </w:rPr>
        <w:t>sell-side</w:t>
      </w:r>
      <w:r>
        <w:rPr>
          <w:spacing w:val="-13"/>
          <w:w w:val="105"/>
        </w:rPr>
        <w:t> </w:t>
      </w:r>
      <w:r>
        <w:rPr>
          <w:w w:val="105"/>
        </w:rPr>
        <w:t>process,</w:t>
      </w:r>
      <w:r>
        <w:rPr>
          <w:spacing w:val="-14"/>
          <w:w w:val="105"/>
        </w:rPr>
        <w:t> </w:t>
      </w:r>
      <w:r>
        <w:rPr>
          <w:w w:val="105"/>
        </w:rPr>
        <w:t>managing document</w:t>
      </w:r>
      <w:r>
        <w:rPr>
          <w:spacing w:val="-11"/>
          <w:w w:val="105"/>
        </w:rPr>
        <w:t> </w:t>
      </w:r>
      <w:r>
        <w:rPr>
          <w:w w:val="105"/>
        </w:rPr>
        <w:t>requests</w:t>
      </w:r>
      <w:r>
        <w:rPr>
          <w:spacing w:val="-11"/>
          <w:w w:val="105"/>
        </w:rPr>
        <w:t> </w:t>
      </w:r>
      <w:r>
        <w:rPr>
          <w:w w:val="105"/>
        </w:rPr>
        <w:t>and</w:t>
      </w:r>
      <w:r>
        <w:rPr>
          <w:spacing w:val="-11"/>
          <w:w w:val="105"/>
        </w:rPr>
        <w:t> </w:t>
      </w:r>
      <w:r>
        <w:rPr>
          <w:w w:val="105"/>
        </w:rPr>
        <w:t>scheduling</w:t>
      </w:r>
      <w:r>
        <w:rPr>
          <w:spacing w:val="-11"/>
          <w:w w:val="105"/>
        </w:rPr>
        <w:t> </w:t>
      </w:r>
      <w:r>
        <w:rPr>
          <w:w w:val="105"/>
        </w:rPr>
        <w:t>to</w:t>
      </w:r>
      <w:r>
        <w:rPr>
          <w:spacing w:val="-11"/>
          <w:w w:val="105"/>
        </w:rPr>
        <w:t> </w:t>
      </w:r>
      <w:r>
        <w:rPr>
          <w:w w:val="105"/>
        </w:rPr>
        <w:t>keep</w:t>
      </w:r>
      <w:r>
        <w:rPr>
          <w:spacing w:val="-11"/>
          <w:w w:val="105"/>
        </w:rPr>
        <w:t> </w:t>
      </w:r>
      <w:r>
        <w:rPr>
          <w:w w:val="105"/>
        </w:rPr>
        <w:t>the</w:t>
      </w:r>
      <w:r>
        <w:rPr>
          <w:spacing w:val="-11"/>
          <w:w w:val="105"/>
        </w:rPr>
        <w:t> </w:t>
      </w:r>
      <w:r>
        <w:rPr>
          <w:w w:val="105"/>
        </w:rPr>
        <w:t>transaction</w:t>
      </w:r>
      <w:r>
        <w:rPr>
          <w:spacing w:val="-11"/>
          <w:w w:val="105"/>
        </w:rPr>
        <w:t> </w:t>
      </w:r>
      <w:r>
        <w:rPr>
          <w:w w:val="105"/>
        </w:rPr>
        <w:t>on</w:t>
      </w:r>
      <w:r>
        <w:rPr>
          <w:spacing w:val="-11"/>
          <w:w w:val="105"/>
        </w:rPr>
        <w:t> </w:t>
      </w:r>
      <w:r>
        <w:rPr>
          <w:w w:val="105"/>
        </w:rPr>
        <w:t>a</w:t>
      </w:r>
      <w:r>
        <w:rPr>
          <w:spacing w:val="-11"/>
          <w:w w:val="105"/>
        </w:rPr>
        <w:t> </w:t>
      </w:r>
      <w:r>
        <w:rPr>
          <w:w w:val="105"/>
        </w:rPr>
        <w:t>94-day timeline from engagement to close.</w:t>
      </w:r>
    </w:p>
    <w:p>
      <w:pPr>
        <w:pStyle w:val="BodyText"/>
        <w:tabs>
          <w:tab w:pos="1050" w:val="left" w:leader="none"/>
        </w:tabs>
        <w:spacing w:line="268" w:lineRule="auto" w:before="100"/>
        <w:ind w:left="1050" w:right="694" w:hanging="300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26" name="Image 2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6" name="Image 26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hAnsi="Times New Roman"/>
          <w:sz w:val="20"/>
        </w:rPr>
        <w:tab/>
      </w:r>
      <w:r>
        <w:rPr>
          <w:w w:val="105"/>
        </w:rPr>
        <w:t>Supported investment return analysis showing a 20.9% gross IRR across</w:t>
      </w:r>
      <w:r>
        <w:rPr>
          <w:spacing w:val="-14"/>
          <w:w w:val="105"/>
        </w:rPr>
        <w:t> </w:t>
      </w:r>
      <w:r>
        <w:rPr>
          <w:w w:val="105"/>
        </w:rPr>
        <w:t>4</w:t>
      </w:r>
      <w:r>
        <w:rPr>
          <w:spacing w:val="-13"/>
          <w:w w:val="105"/>
        </w:rPr>
        <w:t> </w:t>
      </w:r>
      <w:r>
        <w:rPr>
          <w:w w:val="105"/>
        </w:rPr>
        <w:t>realized</w:t>
      </w:r>
      <w:r>
        <w:rPr>
          <w:spacing w:val="-13"/>
          <w:w w:val="105"/>
        </w:rPr>
        <w:t> </w:t>
      </w:r>
      <w:r>
        <w:rPr>
          <w:w w:val="105"/>
        </w:rPr>
        <w:t>exits</w:t>
      </w:r>
      <w:r>
        <w:rPr>
          <w:spacing w:val="-13"/>
          <w:w w:val="105"/>
        </w:rPr>
        <w:t> </w:t>
      </w:r>
      <w:r>
        <w:rPr>
          <w:w w:val="105"/>
        </w:rPr>
        <w:t>by</w:t>
      </w:r>
      <w:r>
        <w:rPr>
          <w:spacing w:val="-13"/>
          <w:w w:val="105"/>
        </w:rPr>
        <w:t> </w:t>
      </w:r>
      <w:r>
        <w:rPr>
          <w:w w:val="105"/>
        </w:rPr>
        <w:t>maintaining</w:t>
      </w:r>
      <w:r>
        <w:rPr>
          <w:spacing w:val="-13"/>
          <w:w w:val="105"/>
        </w:rPr>
        <w:t> </w:t>
      </w:r>
      <w:r>
        <w:rPr>
          <w:w w:val="105"/>
        </w:rPr>
        <w:t>detailed</w:t>
      </w:r>
      <w:r>
        <w:rPr>
          <w:spacing w:val="-13"/>
          <w:w w:val="105"/>
        </w:rPr>
        <w:t> </w:t>
      </w:r>
      <w:r>
        <w:rPr>
          <w:w w:val="105"/>
        </w:rPr>
        <w:t>cash</w:t>
      </w:r>
      <w:r>
        <w:rPr>
          <w:spacing w:val="-14"/>
          <w:w w:val="105"/>
        </w:rPr>
        <w:t> </w:t>
      </w:r>
      <w:r>
        <w:rPr>
          <w:w w:val="105"/>
        </w:rPr>
        <w:t>ﬂow</w:t>
      </w:r>
      <w:r>
        <w:rPr>
          <w:spacing w:val="-13"/>
          <w:w w:val="105"/>
        </w:rPr>
        <w:t> </w:t>
      </w:r>
      <w:r>
        <w:rPr>
          <w:w w:val="105"/>
        </w:rPr>
        <w:t>waterfalls</w:t>
      </w:r>
      <w:r>
        <w:rPr>
          <w:spacing w:val="-13"/>
          <w:w w:val="105"/>
        </w:rPr>
        <w:t> </w:t>
      </w:r>
      <w:r>
        <w:rPr>
          <w:w w:val="105"/>
        </w:rPr>
        <w:t>and distribution schedules.</w:t>
      </w:r>
    </w:p>
    <w:p>
      <w:pPr>
        <w:pStyle w:val="BodyText"/>
        <w:tabs>
          <w:tab w:pos="1050" w:val="left" w:leader="none"/>
        </w:tabs>
        <w:spacing w:line="268" w:lineRule="auto" w:before="99"/>
        <w:ind w:left="1050" w:right="756" w:hanging="300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27" name="Image 2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7" name="Image 27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spacing w:val="-2"/>
          <w:w w:val="105"/>
        </w:rPr>
        <w:t>Drafted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preliminary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investment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memoranda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and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compiled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market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data </w:t>
      </w:r>
      <w:r>
        <w:rPr>
          <w:w w:val="105"/>
        </w:rPr>
        <w:t>using Bloomberg for 6 prospective transactions during a 12-month </w:t>
      </w:r>
      <w:r>
        <w:rPr>
          <w:spacing w:val="-2"/>
          <w:w w:val="105"/>
        </w:rPr>
        <w:t>period.</w:t>
      </w:r>
    </w:p>
    <w:p>
      <w:pPr>
        <w:pStyle w:val="BodyText"/>
        <w:spacing w:after="0" w:line="268" w:lineRule="auto"/>
        <w:sectPr>
          <w:type w:val="continuous"/>
          <w:pgSz w:w="11920" w:h="16860"/>
          <w:pgMar w:top="0" w:bottom="0" w:left="141" w:right="141"/>
          <w:cols w:num="2" w:equalWidth="0">
            <w:col w:w="3478" w:space="595"/>
            <w:col w:w="7565"/>
          </w:cols>
        </w:sectPr>
      </w:pPr>
    </w:p>
    <w:p>
      <w:pPr>
        <w:spacing w:before="205"/>
        <w:ind w:left="4435" w:right="0" w:firstLine="0"/>
        <w:jc w:val="left"/>
        <w:rPr>
          <w:b/>
          <w:sz w:val="18"/>
        </w:rPr>
      </w:pPr>
      <w:r>
        <w:rPr>
          <w:b/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0899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600325" cy="10706100"/>
                <wp:effectExtent l="0" t="0" r="0" b="0"/>
                <wp:wrapNone/>
                <wp:docPr id="28" name="Graphic 2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8" name="Graphic 28"/>
                      <wps:cNvSpPr/>
                      <wps:spPr>
                        <a:xfrm>
                          <a:off x="0" y="0"/>
                          <a:ext cx="2600325" cy="107061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00325" h="10706100">
                              <a:moveTo>
                                <a:pt x="2600324" y="10706099"/>
                              </a:moveTo>
                              <a:lnTo>
                                <a:pt x="0" y="10706099"/>
                              </a:lnTo>
                              <a:lnTo>
                                <a:pt x="0" y="0"/>
                              </a:lnTo>
                              <a:lnTo>
                                <a:pt x="2600324" y="0"/>
                              </a:lnTo>
                              <a:lnTo>
                                <a:pt x="2600324" y="107060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5F5F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.000005pt;width:204.749984pt;height:842.999933pt;mso-position-horizontal-relative:page;mso-position-vertical-relative:page;z-index:-15807488" id="docshape7" filled="true" fillcolor="#f5f5f5" stroked="false">
                <v:fill type="solid"/>
                <w10:wrap type="none"/>
              </v:rect>
            </w:pict>
          </mc:Fallback>
        </mc:AlternateContent>
      </w:r>
      <w:r>
        <w:rPr>
          <w:b/>
          <w:spacing w:val="-2"/>
          <w:w w:val="105"/>
          <w:sz w:val="18"/>
        </w:rPr>
        <w:t>Investment</w:t>
      </w:r>
      <w:r>
        <w:rPr>
          <w:b/>
          <w:spacing w:val="-6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Banking</w:t>
      </w:r>
      <w:r>
        <w:rPr>
          <w:b/>
          <w:spacing w:val="-11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Analyst</w:t>
      </w:r>
      <w:r>
        <w:rPr>
          <w:b/>
          <w:spacing w:val="-5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|</w:t>
      </w:r>
      <w:r>
        <w:rPr>
          <w:b/>
          <w:spacing w:val="-5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2020</w:t>
      </w:r>
      <w:r>
        <w:rPr>
          <w:b/>
          <w:spacing w:val="-5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-</w:t>
      </w:r>
      <w:r>
        <w:rPr>
          <w:b/>
          <w:spacing w:val="-5"/>
          <w:w w:val="105"/>
          <w:sz w:val="18"/>
        </w:rPr>
        <w:t> </w:t>
      </w:r>
      <w:r>
        <w:rPr>
          <w:b/>
          <w:spacing w:val="-4"/>
          <w:w w:val="105"/>
          <w:sz w:val="18"/>
        </w:rPr>
        <w:t>2021</w:t>
      </w:r>
    </w:p>
    <w:p>
      <w:pPr>
        <w:pStyle w:val="BodyText"/>
        <w:spacing w:before="33"/>
        <w:ind w:left="4435"/>
      </w:pPr>
      <w:r>
        <w:rPr/>
        <w:t>Prairie</w:t>
      </w:r>
      <w:r>
        <w:rPr>
          <w:spacing w:val="8"/>
        </w:rPr>
        <w:t> </w:t>
      </w:r>
      <w:r>
        <w:rPr/>
        <w:t>Trace Advisory</w:t>
      </w:r>
      <w:r>
        <w:rPr>
          <w:spacing w:val="11"/>
        </w:rPr>
        <w:t> </w:t>
      </w:r>
      <w:r>
        <w:rPr/>
        <w:t>LLC,</w:t>
      </w:r>
      <w:r>
        <w:rPr>
          <w:spacing w:val="12"/>
        </w:rPr>
        <w:t> </w:t>
      </w:r>
      <w:r>
        <w:rPr/>
        <w:t>Columbia,</w:t>
      </w:r>
      <w:r>
        <w:rPr>
          <w:spacing w:val="12"/>
        </w:rPr>
        <w:t> </w:t>
      </w:r>
      <w:r>
        <w:rPr>
          <w:spacing w:val="-5"/>
        </w:rPr>
        <w:t>MO</w:t>
      </w:r>
    </w:p>
    <w:p>
      <w:pPr>
        <w:pStyle w:val="BodyText"/>
        <w:spacing w:before="21"/>
      </w:pPr>
    </w:p>
    <w:p>
      <w:pPr>
        <w:pStyle w:val="ListParagraph"/>
        <w:numPr>
          <w:ilvl w:val="0"/>
          <w:numId w:val="1"/>
        </w:numPr>
        <w:tabs>
          <w:tab w:pos="5123" w:val="left" w:leader="none"/>
        </w:tabs>
        <w:spacing w:line="261" w:lineRule="auto" w:before="0" w:after="0"/>
        <w:ind w:left="5123" w:right="787" w:hanging="300"/>
        <w:jc w:val="left"/>
        <w:rPr>
          <w:sz w:val="18"/>
        </w:rPr>
      </w:pPr>
      <w:r>
        <w:rPr>
          <w:spacing w:val="-2"/>
          <w:w w:val="105"/>
          <w:sz w:val="18"/>
        </w:rPr>
        <w:t>Coordinated 5 third-party advisors including valuation consultants, tax </w:t>
      </w:r>
      <w:r>
        <w:rPr>
          <w:w w:val="105"/>
          <w:sz w:val="18"/>
        </w:rPr>
        <w:t>specialists, and legal teams on 2 middle-market M&amp;A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engagements.</w:t>
      </w:r>
    </w:p>
    <w:p>
      <w:pPr>
        <w:pStyle w:val="ListParagraph"/>
        <w:numPr>
          <w:ilvl w:val="0"/>
          <w:numId w:val="1"/>
        </w:numPr>
        <w:tabs>
          <w:tab w:pos="5123" w:val="left" w:leader="none"/>
        </w:tabs>
        <w:spacing w:line="268" w:lineRule="auto" w:before="104" w:after="0"/>
        <w:ind w:left="5123" w:right="756" w:hanging="300"/>
        <w:jc w:val="left"/>
        <w:rPr>
          <w:sz w:val="18"/>
        </w:rPr>
      </w:pPr>
      <w:r>
        <w:rPr>
          <w:w w:val="105"/>
          <w:sz w:val="18"/>
        </w:rPr>
        <w:t>Assembled data rooms containing over 340 documents per </w:t>
      </w:r>
      <w:r>
        <w:rPr>
          <w:spacing w:val="-2"/>
          <w:w w:val="105"/>
          <w:sz w:val="18"/>
        </w:rPr>
        <w:t>engagement,</w:t>
      </w:r>
      <w:r>
        <w:rPr>
          <w:spacing w:val="-3"/>
          <w:w w:val="105"/>
          <w:sz w:val="18"/>
        </w:rPr>
        <w:t> </w:t>
      </w:r>
      <w:r>
        <w:rPr>
          <w:spacing w:val="-2"/>
          <w:w w:val="105"/>
          <w:sz w:val="18"/>
        </w:rPr>
        <w:t>reducing</w:t>
      </w:r>
      <w:r>
        <w:rPr>
          <w:spacing w:val="-3"/>
          <w:w w:val="105"/>
          <w:sz w:val="18"/>
        </w:rPr>
        <w:t> </w:t>
      </w:r>
      <w:r>
        <w:rPr>
          <w:spacing w:val="-2"/>
          <w:w w:val="105"/>
          <w:sz w:val="18"/>
        </w:rPr>
        <w:t>average</w:t>
      </w:r>
      <w:r>
        <w:rPr>
          <w:spacing w:val="-3"/>
          <w:w w:val="105"/>
          <w:sz w:val="18"/>
        </w:rPr>
        <w:t> </w:t>
      </w:r>
      <w:r>
        <w:rPr>
          <w:spacing w:val="-2"/>
          <w:w w:val="105"/>
          <w:sz w:val="18"/>
        </w:rPr>
        <w:t>information-request</w:t>
      </w:r>
      <w:r>
        <w:rPr>
          <w:spacing w:val="-3"/>
          <w:w w:val="105"/>
          <w:sz w:val="18"/>
        </w:rPr>
        <w:t> </w:t>
      </w:r>
      <w:r>
        <w:rPr>
          <w:spacing w:val="-2"/>
          <w:w w:val="105"/>
          <w:sz w:val="18"/>
        </w:rPr>
        <w:t>turnaround</w:t>
      </w:r>
      <w:r>
        <w:rPr>
          <w:spacing w:val="-3"/>
          <w:w w:val="105"/>
          <w:sz w:val="18"/>
        </w:rPr>
        <w:t> </w:t>
      </w:r>
      <w:r>
        <w:rPr>
          <w:spacing w:val="-2"/>
          <w:w w:val="105"/>
          <w:sz w:val="18"/>
        </w:rPr>
        <w:t>from</w:t>
      </w:r>
      <w:r>
        <w:rPr>
          <w:spacing w:val="-3"/>
          <w:w w:val="105"/>
          <w:sz w:val="18"/>
        </w:rPr>
        <w:t> </w:t>
      </w:r>
      <w:r>
        <w:rPr>
          <w:spacing w:val="-2"/>
          <w:w w:val="105"/>
          <w:sz w:val="18"/>
        </w:rPr>
        <w:t>4 </w:t>
      </w:r>
      <w:r>
        <w:rPr>
          <w:w w:val="105"/>
          <w:sz w:val="18"/>
        </w:rPr>
        <w:t>days to 1.5 days.</w:t>
      </w:r>
    </w:p>
    <w:p>
      <w:pPr>
        <w:pStyle w:val="ListParagraph"/>
        <w:spacing w:after="0" w:line="268" w:lineRule="auto"/>
        <w:jc w:val="left"/>
        <w:rPr>
          <w:sz w:val="18"/>
        </w:rPr>
        <w:sectPr>
          <w:type w:val="continuous"/>
          <w:pgSz w:w="11920" w:h="16860"/>
          <w:pgMar w:top="0" w:bottom="0" w:left="141" w:right="141"/>
        </w:sectPr>
      </w:pPr>
    </w:p>
    <w:p>
      <w:pPr>
        <w:pStyle w:val="BodyText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1001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600325" cy="10706100"/>
                <wp:effectExtent l="0" t="0" r="0" b="0"/>
                <wp:wrapNone/>
                <wp:docPr id="29" name="Graphic 2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9" name="Graphic 29"/>
                      <wps:cNvSpPr/>
                      <wps:spPr>
                        <a:xfrm>
                          <a:off x="0" y="0"/>
                          <a:ext cx="2600325" cy="107061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00325" h="10706100">
                              <a:moveTo>
                                <a:pt x="2600324" y="10706099"/>
                              </a:moveTo>
                              <a:lnTo>
                                <a:pt x="0" y="10706099"/>
                              </a:lnTo>
                              <a:lnTo>
                                <a:pt x="0" y="0"/>
                              </a:lnTo>
                              <a:lnTo>
                                <a:pt x="2600324" y="0"/>
                              </a:lnTo>
                              <a:lnTo>
                                <a:pt x="2600324" y="107060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5F5F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.000005pt;width:204.749984pt;height:842.999933pt;mso-position-horizontal-relative:page;mso-position-vertical-relative:page;z-index:-15806464" id="docshape8" filled="true" fillcolor="#f5f5f5" stroked="false">
                <v:fill type="solid"/>
                <w10:wrap type="none"/>
              </v:rect>
            </w:pict>
          </mc:Fallback>
        </mc:AlternateContent>
      </w:r>
    </w:p>
    <w:p>
      <w:pPr>
        <w:pStyle w:val="BodyText"/>
        <w:spacing w:before="74"/>
      </w:pPr>
    </w:p>
    <w:p>
      <w:pPr>
        <w:pStyle w:val="ListParagraph"/>
        <w:numPr>
          <w:ilvl w:val="0"/>
          <w:numId w:val="1"/>
        </w:numPr>
        <w:tabs>
          <w:tab w:pos="5123" w:val="left" w:leader="none"/>
        </w:tabs>
        <w:spacing w:line="268" w:lineRule="auto" w:before="0" w:after="0"/>
        <w:ind w:left="5123" w:right="1180" w:hanging="300"/>
        <w:jc w:val="left"/>
        <w:rPr>
          <w:sz w:val="18"/>
        </w:rPr>
      </w:pPr>
      <w:r>
        <w:rPr>
          <w:w w:val="105"/>
          <w:sz w:val="18"/>
        </w:rPr>
        <w:t>Constructed operating models in Excel for prospective targets, completing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initial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drafts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within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48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hours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of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receiving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management </w:t>
      </w:r>
      <w:r>
        <w:rPr>
          <w:spacing w:val="-2"/>
          <w:w w:val="105"/>
          <w:sz w:val="18"/>
        </w:rPr>
        <w:t>ﬁnancials.</w:t>
      </w:r>
    </w:p>
    <w:sectPr>
      <w:pgSz w:w="11920" w:h="16860"/>
      <w:pgMar w:top="0" w:bottom="0" w:left="141" w:right="14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5" type="#_x0000_t75" style="width:7.500000pt;height:7.500000pt" o:bullet="t">
        <v:imagedata r:id="rId1" o:title="image9.png"/>
      </v:shape>
    </w:pict>
  </w:numPicBullet>
  <w:abstractNum w:abstractNumId="0">
    <w:multiLevelType w:val="hybridMultilevel"/>
    <w:lvl w:ilvl="0">
      <w:start w:val="0"/>
      <w:numFmt w:val="bullet"/>
      <w:lvlText w:val="&amp;"/>
      <w:lvlPicBulletId w:val="0"/>
      <w:lvlJc w:val="left"/>
      <w:pPr>
        <w:ind w:left="5123" w:hanging="30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position w:val="2"/>
        <w:sz w:val="12"/>
        <w:szCs w:val="1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771" w:hanging="30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6423" w:hanging="30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7074" w:hanging="30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7726" w:hanging="30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8378" w:hanging="30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9029" w:hanging="30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9681" w:hanging="30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0333" w:hanging="30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01"/>
      <w:outlineLvl w:val="1"/>
    </w:pPr>
    <w:rPr>
      <w:rFonts w:ascii="Arial" w:hAnsi="Arial" w:eastAsia="Arial" w:cs="Arial"/>
      <w:b/>
      <w:bCs/>
      <w:sz w:val="20"/>
      <w:szCs w:val="20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5123" w:right="756" w:hanging="300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hyperlink" Target="mailto:bilal.costa@example.com" TargetMode="External"/><Relationship Id="rId10" Type="http://schemas.openxmlformats.org/officeDocument/2006/relationships/image" Target="media/image5.png"/><Relationship Id="rId11" Type="http://schemas.openxmlformats.org/officeDocument/2006/relationships/image" Target="media/image6.png"/><Relationship Id="rId12" Type="http://schemas.openxmlformats.org/officeDocument/2006/relationships/image" Target="media/image7.png"/><Relationship Id="rId13" Type="http://schemas.openxmlformats.org/officeDocument/2006/relationships/image" Target="media/image8.png"/><Relationship Id="rId14" Type="http://schemas.openxmlformats.org/officeDocument/2006/relationships/image" Target="media/image9.png"/><Relationship Id="rId15" Type="http://schemas.openxmlformats.org/officeDocument/2006/relationships/image" Target="media/image10.png"/><Relationship Id="rId16" Type="http://schemas.openxmlformats.org/officeDocument/2006/relationships/numbering" Target="numbering.xml"/></Relationships>

</file>

<file path=word/_rels/numbering.xml.rels><?xml version="1.0" encoding="UTF-8" standalone="yes"?>
<Relationships xmlns="http://schemas.openxmlformats.org/package/2006/relationships"><Relationship Id="rId1" Type="http://schemas.openxmlformats.org/officeDocument/2006/relationships/image" Target="media/image9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2026-10-08T10:46:50Z</dcterms:created>
  <dcterms:modified xsi:type="dcterms:W3CDTF">2026-10-08T10:46:50Z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2026-10-08T00:00:00Z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2026-10-08T00:00:00Z</vt:filetime>
  </property>
  <property fmtid="{D5CDD505-2E9C-101B-9397-08002B2CF9AE}" pid="5" name="Producer">
    <vt:lpwstr>pdf-merger-js</vt:lpwstr>
  </property>
</Properties>
</file>