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098" w:right="0" w:firstLine="0"/>
        <w:jc w:val="center"/>
        <w:rPr>
          <w:sz w:val="74"/>
        </w:rPr>
      </w:pPr>
      <w:r>
        <w:rPr>
          <w:b/>
          <w:color w:val="731B46"/>
          <w:sz w:val="74"/>
        </w:rPr>
        <w:t>Samir</w:t>
      </w:r>
      <w:r>
        <w:rPr>
          <w:b/>
          <w:color w:val="731B46"/>
          <w:spacing w:val="-3"/>
          <w:sz w:val="74"/>
        </w:rPr>
        <w:t> </w:t>
      </w:r>
      <w:r>
        <w:rPr>
          <w:color w:val="731B46"/>
          <w:spacing w:val="-2"/>
          <w:sz w:val="74"/>
        </w:rPr>
        <w:t>Duarte</w:t>
      </w:r>
    </w:p>
    <w:p>
      <w:pPr>
        <w:spacing w:before="87"/>
        <w:ind w:left="4098" w:right="0" w:firstLine="0"/>
        <w:jc w:val="center"/>
        <w:rPr>
          <w:sz w:val="22"/>
        </w:rPr>
      </w:pPr>
      <w:r>
        <w:rPr>
          <w:color w:val="731B46"/>
          <w:sz w:val="22"/>
        </w:rPr>
        <w:t>Underwriter</w:t>
      </w:r>
      <w:r>
        <w:rPr>
          <w:color w:val="731B46"/>
          <w:spacing w:val="1"/>
          <w:sz w:val="22"/>
        </w:rPr>
        <w:t> </w:t>
      </w:r>
      <w:r>
        <w:rPr>
          <w:color w:val="731B46"/>
          <w:spacing w:val="-5"/>
          <w:sz w:val="22"/>
        </w:rPr>
        <w:t>II</w:t>
      </w:r>
    </w:p>
    <w:p>
      <w:pPr>
        <w:pStyle w:val="BodyText"/>
        <w:spacing w:before="42"/>
      </w:pPr>
    </w:p>
    <w:p>
      <w:pPr>
        <w:pStyle w:val="BodyText"/>
        <w:spacing w:line="290" w:lineRule="auto"/>
        <w:ind w:left="4182" w:right="82" w:hanging="1"/>
        <w:jc w:val="center"/>
      </w:pPr>
      <w:r>
        <w:rPr>
          <w:w w:val="105"/>
        </w:rPr>
        <w:t>Commercial</w:t>
      </w:r>
      <w:r>
        <w:rPr>
          <w:spacing w:val="-2"/>
          <w:w w:val="105"/>
        </w:rPr>
        <w:t> </w:t>
      </w:r>
      <w:r>
        <w:rPr>
          <w:w w:val="105"/>
        </w:rPr>
        <w:t>underwriter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6</w:t>
      </w:r>
      <w:r>
        <w:rPr>
          <w:spacing w:val="-2"/>
          <w:w w:val="105"/>
        </w:rPr>
        <w:t> </w:t>
      </w:r>
      <w:r>
        <w:rPr>
          <w:w w:val="105"/>
        </w:rPr>
        <w:t>years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experience</w:t>
      </w:r>
      <w:r>
        <w:rPr>
          <w:spacing w:val="-2"/>
          <w:w w:val="105"/>
        </w:rPr>
        <w:t> </w:t>
      </w:r>
      <w:r>
        <w:rPr>
          <w:w w:val="105"/>
        </w:rPr>
        <w:t>who</w:t>
      </w:r>
      <w:r>
        <w:rPr>
          <w:spacing w:val="-2"/>
          <w:w w:val="105"/>
        </w:rPr>
        <w:t> </w:t>
      </w:r>
      <w:r>
        <w:rPr>
          <w:w w:val="105"/>
        </w:rPr>
        <w:t>wrote</w:t>
      </w:r>
      <w:r>
        <w:rPr>
          <w:spacing w:val="-2"/>
          <w:w w:val="105"/>
        </w:rPr>
        <w:t> </w:t>
      </w:r>
      <w:r>
        <w:rPr>
          <w:w w:val="105"/>
        </w:rPr>
        <w:t>$13.7M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commercial </w:t>
      </w:r>
      <w:r>
        <w:rPr>
          <w:spacing w:val="-2"/>
          <w:w w:val="105"/>
        </w:rPr>
        <w:t>premium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volume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across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property,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general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liability,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inland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marine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lines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during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the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2025 </w:t>
      </w:r>
      <w:r>
        <w:rPr>
          <w:w w:val="105"/>
        </w:rPr>
        <w:t>policy</w:t>
      </w:r>
      <w:r>
        <w:rPr>
          <w:spacing w:val="-2"/>
          <w:w w:val="105"/>
        </w:rPr>
        <w:t> </w:t>
      </w:r>
      <w:r>
        <w:rPr>
          <w:w w:val="105"/>
        </w:rPr>
        <w:t>year.</w:t>
      </w:r>
      <w:r>
        <w:rPr>
          <w:spacing w:val="-2"/>
          <w:w w:val="105"/>
        </w:rPr>
        <w:t> </w:t>
      </w:r>
      <w:r>
        <w:rPr>
          <w:w w:val="105"/>
        </w:rPr>
        <w:t>Holds</w:t>
      </w:r>
      <w:r>
        <w:rPr>
          <w:spacing w:val="-2"/>
          <w:w w:val="105"/>
        </w:rPr>
        <w:t> </w:t>
      </w:r>
      <w:r>
        <w:rPr>
          <w:w w:val="105"/>
        </w:rPr>
        <w:t>an</w:t>
      </w:r>
      <w:r>
        <w:rPr>
          <w:spacing w:val="-12"/>
          <w:w w:val="105"/>
        </w:rPr>
        <w:t> </w:t>
      </w:r>
      <w:r>
        <w:rPr>
          <w:w w:val="105"/>
        </w:rPr>
        <w:t>Associate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Commercial</w:t>
      </w:r>
      <w:r>
        <w:rPr>
          <w:spacing w:val="-2"/>
          <w:w w:val="105"/>
        </w:rPr>
        <w:t> </w:t>
      </w:r>
      <w:r>
        <w:rPr>
          <w:w w:val="105"/>
        </w:rPr>
        <w:t>Underwriting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works</w:t>
      </w:r>
      <w:r>
        <w:rPr>
          <w:spacing w:val="-2"/>
          <w:w w:val="105"/>
        </w:rPr>
        <w:t> </w:t>
      </w:r>
      <w:r>
        <w:rPr>
          <w:w w:val="105"/>
        </w:rPr>
        <w:t>across Encompass,</w:t>
      </w:r>
      <w:r>
        <w:rPr>
          <w:spacing w:val="-3"/>
          <w:w w:val="105"/>
        </w:rPr>
        <w:t> </w:t>
      </w:r>
      <w:r>
        <w:rPr>
          <w:w w:val="105"/>
        </w:rPr>
        <w:t>Insly,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Excel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assess</w:t>
      </w:r>
      <w:r>
        <w:rPr>
          <w:spacing w:val="-3"/>
          <w:w w:val="105"/>
        </w:rPr>
        <w:t> </w:t>
      </w:r>
      <w:r>
        <w:rPr>
          <w:w w:val="105"/>
        </w:rPr>
        <w:t>risk,</w:t>
      </w:r>
      <w:r>
        <w:rPr>
          <w:spacing w:val="-3"/>
          <w:w w:val="105"/>
        </w:rPr>
        <w:t> </w:t>
      </w:r>
      <w:r>
        <w:rPr>
          <w:w w:val="105"/>
        </w:rPr>
        <w:t>price</w:t>
      </w:r>
      <w:r>
        <w:rPr>
          <w:spacing w:val="-3"/>
          <w:w w:val="105"/>
        </w:rPr>
        <w:t> </w:t>
      </w:r>
      <w:r>
        <w:rPr>
          <w:w w:val="105"/>
        </w:rPr>
        <w:t>accounts,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compress</w:t>
      </w:r>
      <w:r>
        <w:rPr>
          <w:spacing w:val="-3"/>
          <w:w w:val="105"/>
        </w:rPr>
        <w:t> </w:t>
      </w:r>
      <w:r>
        <w:rPr>
          <w:w w:val="105"/>
        </w:rPr>
        <w:t>quote turnaround cycles.</w:t>
      </w:r>
    </w:p>
    <w:p>
      <w:pPr>
        <w:pStyle w:val="BodyText"/>
        <w:spacing w:before="18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00" w:bottom="280" w:left="141" w:right="141"/>
        </w:sectPr>
      </w:pPr>
    </w:p>
    <w:p>
      <w:pPr>
        <w:pStyle w:val="Heading1"/>
        <w:spacing w:before="85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26"/>
        <w:rPr>
          <w:b/>
          <w:sz w:val="16"/>
        </w:rPr>
      </w:pPr>
    </w:p>
    <w:p>
      <w:pPr>
        <w:spacing w:before="0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(906)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555-</w:t>
      </w:r>
      <w:r>
        <w:rPr>
          <w:color w:val="1F1F1F"/>
          <w:spacing w:val="-4"/>
          <w:sz w:val="20"/>
        </w:rPr>
        <w:t>0111</w:t>
      </w:r>
    </w:p>
    <w:p>
      <w:pPr>
        <w:spacing w:line="453" w:lineRule="auto" w:before="190"/>
        <w:ind w:left="1012" w:right="0" w:firstLine="0"/>
        <w:jc w:val="left"/>
        <w:rPr>
          <w:sz w:val="20"/>
        </w:rPr>
      </w:pPr>
      <w:hyperlink r:id="rId5">
        <w:r>
          <w:rPr>
            <w:color w:val="1F1F1F"/>
            <w:spacing w:val="-2"/>
            <w:sz w:val="20"/>
          </w:rPr>
          <w:t>samir.duarte@example.com</w:t>
        </w:r>
      </w:hyperlink>
      <w:r>
        <w:rPr>
          <w:color w:val="1F1F1F"/>
          <w:spacing w:val="-2"/>
          <w:sz w:val="20"/>
        </w:rPr>
        <w:t> </w:t>
      </w:r>
      <w:r>
        <w:rPr>
          <w:color w:val="1F1F1F"/>
          <w:sz w:val="20"/>
        </w:rPr>
        <w:t>Marquette, MI 12345</w:t>
      </w:r>
    </w:p>
    <w:p>
      <w:pPr>
        <w:pStyle w:val="BodyText"/>
        <w:spacing w:before="191"/>
        <w:rPr>
          <w:sz w:val="20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99"/>
        <w:rPr>
          <w:b/>
          <w:sz w:val="16"/>
        </w:rPr>
      </w:pPr>
    </w:p>
    <w:p>
      <w:pPr>
        <w:pStyle w:val="BodyText"/>
        <w:spacing w:line="278" w:lineRule="auto" w:before="1"/>
        <w:ind w:left="380" w:right="564"/>
      </w:pPr>
      <w:r>
        <w:rPr>
          <w:w w:val="105"/>
        </w:rPr>
        <w:t>Bachelor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Science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Financial </w:t>
      </w:r>
      <w:r>
        <w:rPr>
          <w:spacing w:val="-2"/>
          <w:w w:val="105"/>
        </w:rPr>
        <w:t>Management</w:t>
      </w:r>
    </w:p>
    <w:p>
      <w:pPr>
        <w:pStyle w:val="BodyText"/>
        <w:spacing w:line="192" w:lineRule="exact"/>
        <w:ind w:left="380"/>
      </w:pPr>
      <w:r>
        <w:rPr/>
        <w:t>Northern</w:t>
      </w:r>
      <w:r>
        <w:rPr>
          <w:spacing w:val="15"/>
        </w:rPr>
        <w:t> </w:t>
      </w:r>
      <w:r>
        <w:rPr/>
        <w:t>Michigan</w:t>
      </w:r>
      <w:r>
        <w:rPr>
          <w:spacing w:val="15"/>
        </w:rPr>
        <w:t> </w:t>
      </w:r>
      <w:r>
        <w:rPr>
          <w:spacing w:val="-2"/>
        </w:rPr>
        <w:t>University,</w:t>
      </w:r>
    </w:p>
    <w:p>
      <w:pPr>
        <w:pStyle w:val="BodyText"/>
        <w:spacing w:before="33"/>
        <w:ind w:left="380"/>
      </w:pPr>
      <w:r>
        <w:rPr>
          <w:w w:val="105"/>
        </w:rPr>
        <w:t>Marquette,</w:t>
      </w:r>
      <w:r>
        <w:rPr>
          <w:spacing w:val="-13"/>
          <w:w w:val="105"/>
        </w:rPr>
        <w:t> </w:t>
      </w:r>
      <w:r>
        <w:rPr>
          <w:w w:val="105"/>
        </w:rPr>
        <w:t>MI</w:t>
      </w:r>
      <w:r>
        <w:rPr>
          <w:spacing w:val="-12"/>
          <w:w w:val="105"/>
        </w:rPr>
        <w:t> </w:t>
      </w:r>
      <w:r>
        <w:rPr>
          <w:w w:val="105"/>
        </w:rPr>
        <w:t>2016</w:t>
      </w:r>
      <w:r>
        <w:rPr>
          <w:spacing w:val="-13"/>
          <w:w w:val="105"/>
        </w:rPr>
        <w:t> </w:t>
      </w:r>
      <w:r>
        <w:rPr>
          <w:w w:val="105"/>
        </w:rPr>
        <w:t>-</w:t>
      </w:r>
      <w:r>
        <w:rPr>
          <w:spacing w:val="-12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</w:pPr>
    </w:p>
    <w:p>
      <w:pPr>
        <w:pStyle w:val="BodyText"/>
        <w:spacing w:before="65"/>
      </w:pPr>
    </w:p>
    <w:p>
      <w:pPr>
        <w:pStyle w:val="Heading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spacing w:line="381" w:lineRule="auto"/>
        <w:ind w:left="678" w:right="399"/>
      </w:pPr>
      <w:r>
        <w:rPr>
          <w:spacing w:val="-2"/>
          <w:w w:val="105"/>
        </w:rPr>
        <w:t>Commercial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risk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assessment </w:t>
      </w:r>
      <w:r>
        <w:rPr>
          <w:w w:val="105"/>
        </w:rPr>
        <w:t>ISO underwriting rules </w:t>
      </w:r>
      <w:r>
        <w:rPr>
          <w:spacing w:val="-2"/>
          <w:w w:val="105"/>
        </w:rPr>
        <w:t>Encompass</w:t>
      </w:r>
    </w:p>
    <w:p>
      <w:pPr>
        <w:pStyle w:val="BodyText"/>
        <w:spacing w:before="2"/>
        <w:ind w:left="678"/>
      </w:pPr>
      <w:r>
        <w:rPr>
          <w:spacing w:val="-2"/>
          <w:w w:val="105"/>
        </w:rPr>
        <w:t>Insly</w:t>
      </w:r>
    </w:p>
    <w:p>
      <w:pPr>
        <w:pStyle w:val="BodyText"/>
        <w:spacing w:before="108"/>
        <w:ind w:left="678"/>
      </w:pPr>
      <w:r>
        <w:rPr/>
        <w:t>Microsoft</w:t>
      </w:r>
      <w:r>
        <w:rPr>
          <w:spacing w:val="14"/>
        </w:rPr>
        <w:t> </w:t>
      </w:r>
      <w:r>
        <w:rPr>
          <w:spacing w:val="-2"/>
        </w:rPr>
        <w:t>Excel</w:t>
      </w:r>
    </w:p>
    <w:p>
      <w:pPr>
        <w:pStyle w:val="BodyText"/>
        <w:spacing w:line="381" w:lineRule="auto" w:before="123"/>
        <w:ind w:left="678" w:right="399"/>
      </w:pPr>
      <w:r>
        <w:rPr>
          <w:spacing w:val="-2"/>
          <w:w w:val="105"/>
        </w:rPr>
        <w:t>Carrier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underwriting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guidelines </w:t>
      </w:r>
      <w:r>
        <w:rPr>
          <w:w w:val="105"/>
        </w:rPr>
        <w:t>Loss-run analysis</w:t>
      </w:r>
    </w:p>
    <w:p>
      <w:pPr>
        <w:pStyle w:val="BodyText"/>
        <w:spacing w:before="2"/>
        <w:ind w:left="678"/>
      </w:pPr>
      <w:r>
        <w:rPr>
          <w:spacing w:val="-2"/>
          <w:w w:val="105"/>
        </w:rPr>
        <w:t>Premium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pricing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rating</w:t>
      </w:r>
    </w:p>
    <w:p>
      <w:pPr>
        <w:pStyle w:val="BodyText"/>
        <w:spacing w:before="123"/>
        <w:ind w:left="678"/>
      </w:pPr>
      <w:r>
        <w:rPr/>
        <w:t>Financial</w:t>
      </w:r>
      <w:r>
        <w:rPr>
          <w:spacing w:val="15"/>
        </w:rPr>
        <w:t> </w:t>
      </w:r>
      <w:r>
        <w:rPr/>
        <w:t>statement</w:t>
      </w:r>
      <w:r>
        <w:rPr>
          <w:spacing w:val="16"/>
        </w:rPr>
        <w:t> </w:t>
      </w:r>
      <w:r>
        <w:rPr>
          <w:spacing w:val="-2"/>
        </w:rPr>
        <w:t>review</w:t>
      </w:r>
    </w:p>
    <w:p>
      <w:pPr>
        <w:pStyle w:val="BodyText"/>
        <w:spacing w:line="278" w:lineRule="auto" w:before="108"/>
        <w:ind w:left="678"/>
      </w:pPr>
      <w:r>
        <w:rPr>
          <w:spacing w:val="-2"/>
          <w:w w:val="105"/>
        </w:rPr>
        <w:t>Property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casualty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coverage analysis</w:t>
      </w:r>
    </w:p>
    <w:p>
      <w:pPr>
        <w:pStyle w:val="Heading1"/>
        <w:spacing w:before="70"/>
      </w:pPr>
      <w:r>
        <w:rPr>
          <w:b w:val="0"/>
        </w:rPr>
        <w:br w:type="column"/>
      </w: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Underwriter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II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2023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0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33"/>
        <w:ind w:left="362"/>
      </w:pPr>
      <w:r>
        <w:rPr/>
        <w:t>Iron</w:t>
      </w:r>
      <w:r>
        <w:rPr>
          <w:spacing w:val="13"/>
        </w:rPr>
        <w:t> </w:t>
      </w:r>
      <w:r>
        <w:rPr/>
        <w:t>Range</w:t>
      </w:r>
      <w:r>
        <w:rPr>
          <w:spacing w:val="13"/>
        </w:rPr>
        <w:t> </w:t>
      </w:r>
      <w:r>
        <w:rPr/>
        <w:t>Indemnity</w:t>
      </w:r>
      <w:r>
        <w:rPr>
          <w:spacing w:val="14"/>
        </w:rPr>
        <w:t> </w:t>
      </w:r>
      <w:r>
        <w:rPr/>
        <w:t>Group,</w:t>
      </w:r>
      <w:r>
        <w:rPr>
          <w:spacing w:val="13"/>
        </w:rPr>
        <w:t> </w:t>
      </w:r>
      <w:r>
        <w:rPr/>
        <w:t>Marquette,</w:t>
      </w:r>
      <w:r>
        <w:rPr>
          <w:spacing w:val="13"/>
        </w:rPr>
        <w:t> </w:t>
      </w:r>
      <w:r>
        <w:rPr>
          <w:spacing w:val="-5"/>
        </w:rPr>
        <w:t>MI</w:t>
      </w:r>
    </w:p>
    <w:p>
      <w:pPr>
        <w:pStyle w:val="BodyText"/>
        <w:spacing w:before="21"/>
      </w:pPr>
    </w:p>
    <w:p>
      <w:pPr>
        <w:pStyle w:val="BodyText"/>
        <w:spacing w:line="268" w:lineRule="auto"/>
        <w:ind w:left="1050" w:right="507"/>
      </w:pPr>
      <w:r>
        <w:rPr>
          <w:w w:val="105"/>
        </w:rPr>
        <w:t>Reduced</w:t>
      </w:r>
      <w:r>
        <w:rPr>
          <w:spacing w:val="-12"/>
          <w:w w:val="105"/>
        </w:rPr>
        <w:t> </w:t>
      </w:r>
      <w:r>
        <w:rPr>
          <w:w w:val="105"/>
        </w:rPr>
        <w:t>average</w:t>
      </w:r>
      <w:r>
        <w:rPr>
          <w:spacing w:val="-12"/>
          <w:w w:val="105"/>
        </w:rPr>
        <w:t> </w:t>
      </w:r>
      <w:r>
        <w:rPr>
          <w:w w:val="105"/>
        </w:rPr>
        <w:t>quote</w:t>
      </w:r>
      <w:r>
        <w:rPr>
          <w:spacing w:val="-12"/>
          <w:w w:val="105"/>
        </w:rPr>
        <w:t> </w:t>
      </w:r>
      <w:r>
        <w:rPr>
          <w:w w:val="105"/>
        </w:rPr>
        <w:t>response</w:t>
      </w:r>
      <w:r>
        <w:rPr>
          <w:spacing w:val="-12"/>
          <w:w w:val="105"/>
        </w:rPr>
        <w:t> </w:t>
      </w:r>
      <w:r>
        <w:rPr>
          <w:w w:val="105"/>
        </w:rPr>
        <w:t>time</w:t>
      </w:r>
      <w:r>
        <w:rPr>
          <w:spacing w:val="-12"/>
          <w:w w:val="105"/>
        </w:rPr>
        <w:t> </w:t>
      </w:r>
      <w:r>
        <w:rPr>
          <w:w w:val="105"/>
        </w:rPr>
        <w:t>from</w:t>
      </w:r>
      <w:r>
        <w:rPr>
          <w:spacing w:val="-12"/>
          <w:w w:val="105"/>
        </w:rPr>
        <w:t> </w:t>
      </w:r>
      <w:r>
        <w:rPr>
          <w:w w:val="105"/>
        </w:rPr>
        <w:t>36</w:t>
      </w:r>
      <w:r>
        <w:rPr>
          <w:spacing w:val="-12"/>
          <w:w w:val="105"/>
        </w:rPr>
        <w:t> </w:t>
      </w:r>
      <w:r>
        <w:rPr>
          <w:w w:val="105"/>
        </w:rPr>
        <w:t>hours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9</w:t>
      </w:r>
      <w:r>
        <w:rPr>
          <w:spacing w:val="-12"/>
          <w:w w:val="105"/>
        </w:rPr>
        <w:t> </w:t>
      </w:r>
      <w:r>
        <w:rPr>
          <w:w w:val="105"/>
        </w:rPr>
        <w:t>hours</w:t>
      </w:r>
      <w:r>
        <w:rPr>
          <w:spacing w:val="-12"/>
          <w:w w:val="105"/>
        </w:rPr>
        <w:t> </w:t>
      </w:r>
      <w:r>
        <w:rPr>
          <w:w w:val="105"/>
        </w:rPr>
        <w:t>by building</w:t>
      </w:r>
      <w:r>
        <w:rPr>
          <w:spacing w:val="-5"/>
          <w:w w:val="105"/>
        </w:rPr>
        <w:t> </w:t>
      </w:r>
      <w:r>
        <w:rPr>
          <w:w w:val="105"/>
        </w:rPr>
        <w:t>standardized</w:t>
      </w:r>
      <w:r>
        <w:rPr>
          <w:spacing w:val="-5"/>
          <w:w w:val="105"/>
        </w:rPr>
        <w:t> </w:t>
      </w:r>
      <w:r>
        <w:rPr>
          <w:w w:val="105"/>
        </w:rPr>
        <w:t>rating</w:t>
      </w:r>
      <w:r>
        <w:rPr>
          <w:spacing w:val="-5"/>
          <w:w w:val="105"/>
        </w:rPr>
        <w:t> </w:t>
      </w:r>
      <w:r>
        <w:rPr>
          <w:w w:val="105"/>
        </w:rPr>
        <w:t>templates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5"/>
          <w:w w:val="105"/>
        </w:rPr>
        <w:t> </w:t>
      </w:r>
      <w:r>
        <w:rPr>
          <w:w w:val="105"/>
        </w:rPr>
        <w:t>Excel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pre-populating carrier forms through Encompass.</w:t>
      </w:r>
    </w:p>
    <w:p>
      <w:pPr>
        <w:pStyle w:val="BodyText"/>
        <w:spacing w:line="278" w:lineRule="auto" w:before="99"/>
        <w:ind w:left="1050" w:right="507"/>
      </w:pPr>
      <w:r>
        <w:rPr>
          <w:spacing w:val="-2"/>
          <w:w w:val="105"/>
        </w:rPr>
        <w:t>Wrote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$13.7M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commercial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premium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volume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across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property,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general </w:t>
      </w:r>
      <w:r>
        <w:rPr>
          <w:w w:val="105"/>
        </w:rPr>
        <w:t>liability, and inland marine lines during the 2025 policy year.</w:t>
      </w:r>
    </w:p>
    <w:p>
      <w:pPr>
        <w:pStyle w:val="BodyText"/>
        <w:spacing w:line="261" w:lineRule="auto" w:before="90"/>
        <w:ind w:left="1050" w:right="756"/>
      </w:pPr>
      <w:r>
        <w:rPr>
          <w:spacing w:val="-2"/>
          <w:w w:val="105"/>
        </w:rPr>
        <w:t>Redesigned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the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new-business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submission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checklist,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cutting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document </w:t>
      </w:r>
      <w:r>
        <w:rPr>
          <w:w w:val="105"/>
        </w:rPr>
        <w:t>follow-up cycles from 4 days to 1.5 days per ﬁle.</w:t>
      </w:r>
    </w:p>
    <w:p>
      <w:pPr>
        <w:pStyle w:val="BodyText"/>
        <w:spacing w:line="268" w:lineRule="auto" w:before="104"/>
        <w:ind w:left="1050" w:right="507"/>
      </w:pPr>
      <w:r>
        <w:rPr>
          <w:spacing w:val="-2"/>
          <w:w w:val="105"/>
        </w:rPr>
        <w:t>Examined ﬁnancial statements, loss histories, and property inspection </w:t>
      </w:r>
      <w:r>
        <w:rPr>
          <w:w w:val="105"/>
        </w:rPr>
        <w:t>reports to classify risk and apply appropriate endorsements or rating </w:t>
      </w:r>
      <w:r>
        <w:rPr>
          <w:spacing w:val="-2"/>
          <w:w w:val="105"/>
        </w:rPr>
        <w:t>modiﬁcations.</w:t>
      </w:r>
    </w:p>
    <w:p>
      <w:pPr>
        <w:spacing w:before="205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Underwriter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I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2021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0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2023</w:t>
      </w:r>
    </w:p>
    <w:p>
      <w:pPr>
        <w:pStyle w:val="BodyText"/>
        <w:spacing w:before="33"/>
        <w:ind w:left="362"/>
      </w:pPr>
      <w:r>
        <w:rPr/>
        <w:t>Keweenaw</w:t>
      </w:r>
      <w:r>
        <w:rPr>
          <w:spacing w:val="16"/>
        </w:rPr>
        <w:t> </w:t>
      </w:r>
      <w:r>
        <w:rPr/>
        <w:t>Shore</w:t>
      </w:r>
      <w:r>
        <w:rPr>
          <w:spacing w:val="16"/>
        </w:rPr>
        <w:t> </w:t>
      </w:r>
      <w:r>
        <w:rPr/>
        <w:t>Insurance</w:t>
      </w:r>
      <w:r>
        <w:rPr>
          <w:spacing w:val="16"/>
        </w:rPr>
        <w:t> </w:t>
      </w:r>
      <w:r>
        <w:rPr/>
        <w:t>Partners,</w:t>
      </w:r>
      <w:r>
        <w:rPr>
          <w:spacing w:val="17"/>
        </w:rPr>
        <w:t> </w:t>
      </w:r>
      <w:r>
        <w:rPr/>
        <w:t>Houghton,</w:t>
      </w:r>
      <w:r>
        <w:rPr>
          <w:spacing w:val="16"/>
        </w:rPr>
        <w:t> </w:t>
      </w:r>
      <w:r>
        <w:rPr>
          <w:spacing w:val="-5"/>
        </w:rPr>
        <w:t>MI</w:t>
      </w:r>
    </w:p>
    <w:p>
      <w:pPr>
        <w:pStyle w:val="BodyText"/>
        <w:spacing w:before="20"/>
      </w:pPr>
    </w:p>
    <w:p>
      <w:pPr>
        <w:pStyle w:val="BodyText"/>
        <w:spacing w:line="278" w:lineRule="auto" w:before="1"/>
        <w:ind w:left="1050" w:right="507"/>
      </w:pPr>
      <w:r>
        <w:rPr>
          <w:w w:val="105"/>
        </w:rPr>
        <w:t>Priced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bound</w:t>
      </w:r>
      <w:r>
        <w:rPr>
          <w:spacing w:val="-13"/>
          <w:w w:val="105"/>
        </w:rPr>
        <w:t> </w:t>
      </w:r>
      <w:r>
        <w:rPr>
          <w:w w:val="105"/>
        </w:rPr>
        <w:t>$8.9M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annual</w:t>
      </w:r>
      <w:r>
        <w:rPr>
          <w:spacing w:val="-13"/>
          <w:w w:val="105"/>
        </w:rPr>
        <w:t> </w:t>
      </w:r>
      <w:r>
        <w:rPr>
          <w:w w:val="105"/>
        </w:rPr>
        <w:t>premium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4"/>
          <w:w w:val="105"/>
        </w:rPr>
        <w:t> </w:t>
      </w:r>
      <w:r>
        <w:rPr>
          <w:w w:val="105"/>
        </w:rPr>
        <w:t>137</w:t>
      </w:r>
      <w:r>
        <w:rPr>
          <w:spacing w:val="-13"/>
          <w:w w:val="105"/>
        </w:rPr>
        <w:t> </w:t>
      </w:r>
      <w:r>
        <w:rPr>
          <w:w w:val="105"/>
        </w:rPr>
        <w:t>commercial accounts within delegated authority limits.</w:t>
      </w:r>
    </w:p>
    <w:p>
      <w:pPr>
        <w:pStyle w:val="BodyText"/>
        <w:spacing w:line="268" w:lineRule="auto" w:before="89"/>
        <w:ind w:left="1050" w:right="507"/>
      </w:pPr>
      <w:r>
        <w:rPr>
          <w:spacing w:val="-2"/>
          <w:w w:val="105"/>
        </w:rPr>
        <w:t>Streamlined the quote-to-bind workﬂow by consolidating three legacy </w:t>
      </w:r>
      <w:r>
        <w:rPr>
          <w:w w:val="105"/>
        </w:rPr>
        <w:t>spreadsheets into one Insly tracking dashboard, saving 7 hours per </w:t>
      </w:r>
      <w:r>
        <w:rPr>
          <w:spacing w:val="-2"/>
          <w:w w:val="105"/>
        </w:rPr>
        <w:t>week.</w:t>
      </w:r>
    </w:p>
    <w:p>
      <w:pPr>
        <w:pStyle w:val="BodyText"/>
        <w:spacing w:line="268" w:lineRule="auto" w:before="100"/>
        <w:ind w:left="1050" w:right="507"/>
      </w:pPr>
      <w:r>
        <w:rPr>
          <w:spacing w:val="-2"/>
          <w:w w:val="105"/>
        </w:rPr>
        <w:t>Reviewed property appraisals, zoning records, and applicant ﬁnancial </w:t>
      </w:r>
      <w:r>
        <w:rPr>
          <w:w w:val="105"/>
        </w:rPr>
        <w:t>standing to determine degree of risk and set coverage terms for accounts up to $2.31M in total insured value.</w:t>
      </w:r>
    </w:p>
    <w:p>
      <w:pPr>
        <w:pStyle w:val="BodyText"/>
        <w:spacing w:line="261" w:lineRule="auto" w:before="100"/>
        <w:ind w:left="1050" w:right="717"/>
      </w:pPr>
      <w:r>
        <w:rPr>
          <w:w w:val="105"/>
        </w:rPr>
        <w:t>Decreased</w:t>
      </w:r>
      <w:r>
        <w:rPr>
          <w:spacing w:val="-14"/>
          <w:w w:val="105"/>
        </w:rPr>
        <w:t> </w:t>
      </w:r>
      <w:r>
        <w:rPr>
          <w:w w:val="105"/>
        </w:rPr>
        <w:t>policy</w:t>
      </w:r>
      <w:r>
        <w:rPr>
          <w:spacing w:val="-13"/>
          <w:w w:val="105"/>
        </w:rPr>
        <w:t> </w:t>
      </w:r>
      <w:r>
        <w:rPr>
          <w:w w:val="105"/>
        </w:rPr>
        <w:t>values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substandard</w:t>
      </w:r>
      <w:r>
        <w:rPr>
          <w:spacing w:val="-13"/>
          <w:w w:val="105"/>
        </w:rPr>
        <w:t> </w:t>
      </w:r>
      <w:r>
        <w:rPr>
          <w:w w:val="105"/>
        </w:rPr>
        <w:t>risks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applied</w:t>
      </w:r>
      <w:r>
        <w:rPr>
          <w:spacing w:val="-14"/>
          <w:w w:val="105"/>
        </w:rPr>
        <w:t> </w:t>
      </w:r>
      <w:r>
        <w:rPr>
          <w:w w:val="105"/>
        </w:rPr>
        <w:t>appropriate surcharges, keeping the book within carrier appetite guidelines.</w:t>
      </w:r>
    </w:p>
    <w:p>
      <w:pPr>
        <w:pStyle w:val="BodyText"/>
        <w:spacing w:before="1"/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Underwriting</w:t>
      </w:r>
      <w:r>
        <w:rPr>
          <w:b/>
          <w:spacing w:val="-8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Technician</w:t>
      </w:r>
      <w:r>
        <w:rPr>
          <w:b/>
          <w:spacing w:val="-8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8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2020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8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2021</w:t>
      </w:r>
    </w:p>
    <w:p>
      <w:pPr>
        <w:pStyle w:val="BodyText"/>
        <w:spacing w:before="33"/>
        <w:ind w:left="362"/>
      </w:pPr>
      <w:r>
        <w:rPr/>
        <w:t>Superior</w:t>
      </w:r>
      <w:r>
        <w:rPr>
          <w:spacing w:val="13"/>
        </w:rPr>
        <w:t> </w:t>
      </w:r>
      <w:r>
        <w:rPr/>
        <w:t>Basin</w:t>
      </w:r>
      <w:r>
        <w:rPr>
          <w:spacing w:val="13"/>
        </w:rPr>
        <w:t> </w:t>
      </w:r>
      <w:r>
        <w:rPr/>
        <w:t>Casualty</w:t>
      </w:r>
      <w:r>
        <w:rPr>
          <w:spacing w:val="13"/>
        </w:rPr>
        <w:t> </w:t>
      </w:r>
      <w:r>
        <w:rPr/>
        <w:t>Co.,</w:t>
      </w:r>
      <w:r>
        <w:rPr>
          <w:spacing w:val="14"/>
        </w:rPr>
        <w:t> </w:t>
      </w:r>
      <w:r>
        <w:rPr/>
        <w:t>Escanaba,</w:t>
      </w:r>
      <w:r>
        <w:rPr>
          <w:spacing w:val="13"/>
        </w:rPr>
        <w:t> </w:t>
      </w:r>
      <w:r>
        <w:rPr>
          <w:spacing w:val="-5"/>
        </w:rPr>
        <w:t>MI</w:t>
      </w:r>
    </w:p>
    <w:p>
      <w:pPr>
        <w:pStyle w:val="BodyText"/>
        <w:spacing w:before="21"/>
      </w:pPr>
    </w:p>
    <w:p>
      <w:pPr>
        <w:pStyle w:val="BodyText"/>
        <w:spacing w:line="268" w:lineRule="auto"/>
        <w:ind w:left="1050" w:right="1004"/>
      </w:pPr>
      <w:r>
        <w:rPr>
          <w:w w:val="105"/>
        </w:rPr>
        <w:t>Prepared</w:t>
      </w:r>
      <w:r>
        <w:rPr>
          <w:spacing w:val="-14"/>
          <w:w w:val="105"/>
        </w:rPr>
        <w:t> </w:t>
      </w:r>
      <w:r>
        <w:rPr>
          <w:w w:val="105"/>
        </w:rPr>
        <w:t>74</w:t>
      </w:r>
      <w:r>
        <w:rPr>
          <w:spacing w:val="-13"/>
          <w:w w:val="105"/>
        </w:rPr>
        <w:t> </w:t>
      </w:r>
      <w:r>
        <w:rPr>
          <w:w w:val="105"/>
        </w:rPr>
        <w:t>new-business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renewal</w:t>
      </w:r>
      <w:r>
        <w:rPr>
          <w:spacing w:val="-13"/>
          <w:w w:val="105"/>
        </w:rPr>
        <w:t> </w:t>
      </w:r>
      <w:r>
        <w:rPr>
          <w:w w:val="105"/>
        </w:rPr>
        <w:t>submissions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month</w:t>
      </w:r>
      <w:r>
        <w:rPr>
          <w:spacing w:val="-14"/>
          <w:w w:val="105"/>
        </w:rPr>
        <w:t> </w:t>
      </w:r>
      <w:r>
        <w:rPr>
          <w:w w:val="105"/>
        </w:rPr>
        <w:t>for senior underwriters, gathering loss runs, applications, and supplemental questionnaires.</w:t>
      </w:r>
    </w:p>
    <w:p>
      <w:pPr>
        <w:pStyle w:val="BodyText"/>
        <w:spacing w:line="278" w:lineRule="auto" w:before="100"/>
        <w:ind w:left="1050"/>
      </w:pPr>
      <w:r>
        <w:rPr>
          <w:w w:val="105"/>
        </w:rPr>
        <w:t>Identiﬁed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duplicate-entry</w:t>
      </w:r>
      <w:r>
        <w:rPr>
          <w:spacing w:val="-13"/>
          <w:w w:val="105"/>
        </w:rPr>
        <w:t> </w:t>
      </w:r>
      <w:r>
        <w:rPr>
          <w:w w:val="105"/>
        </w:rPr>
        <w:t>step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quoting</w:t>
      </w:r>
      <w:r>
        <w:rPr>
          <w:spacing w:val="-13"/>
          <w:w w:val="105"/>
        </w:rPr>
        <w:t> </w:t>
      </w:r>
      <w:r>
        <w:rPr>
          <w:w w:val="105"/>
        </w:rPr>
        <w:t>process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proposed</w:t>
      </w:r>
      <w:r>
        <w:rPr>
          <w:spacing w:val="-13"/>
          <w:w w:val="105"/>
        </w:rPr>
        <w:t> </w:t>
      </w:r>
      <w:r>
        <w:rPr>
          <w:w w:val="105"/>
        </w:rPr>
        <w:t>its removal, improving team processing efﬁciency by 42.5%.</w:t>
      </w:r>
    </w:p>
    <w:p>
      <w:pPr>
        <w:pStyle w:val="BodyText"/>
        <w:spacing w:line="268" w:lineRule="auto" w:before="90"/>
        <w:ind w:left="1050" w:right="749"/>
      </w:pPr>
      <w:r>
        <w:rPr>
          <w:w w:val="105"/>
        </w:rPr>
        <w:t>Veriﬁed policy forms, endorsements, and rating factors against ISO underwriting</w:t>
      </w:r>
      <w:r>
        <w:rPr>
          <w:spacing w:val="-14"/>
          <w:w w:val="105"/>
        </w:rPr>
        <w:t> </w:t>
      </w:r>
      <w:r>
        <w:rPr>
          <w:w w:val="105"/>
        </w:rPr>
        <w:t>rules</w:t>
      </w:r>
      <w:r>
        <w:rPr>
          <w:spacing w:val="-13"/>
          <w:w w:val="105"/>
        </w:rPr>
        <w:t> </w:t>
      </w:r>
      <w:r>
        <w:rPr>
          <w:w w:val="105"/>
        </w:rPr>
        <w:t>before</w:t>
      </w:r>
      <w:r>
        <w:rPr>
          <w:spacing w:val="-13"/>
          <w:w w:val="105"/>
        </w:rPr>
        <w:t> </w:t>
      </w:r>
      <w:r>
        <w:rPr>
          <w:w w:val="105"/>
        </w:rPr>
        <w:t>binding,</w:t>
      </w:r>
      <w:r>
        <w:rPr>
          <w:spacing w:val="-13"/>
          <w:w w:val="105"/>
        </w:rPr>
        <w:t> </w:t>
      </w:r>
      <w:r>
        <w:rPr>
          <w:w w:val="105"/>
        </w:rPr>
        <w:t>maintaining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97.73%</w:t>
      </w:r>
      <w:r>
        <w:rPr>
          <w:spacing w:val="-13"/>
          <w:w w:val="105"/>
        </w:rPr>
        <w:t> </w:t>
      </w:r>
      <w:r>
        <w:rPr>
          <w:w w:val="105"/>
        </w:rPr>
        <w:t>accuracy</w:t>
      </w:r>
      <w:r>
        <w:rPr>
          <w:spacing w:val="-14"/>
          <w:w w:val="105"/>
        </w:rPr>
        <w:t> </w:t>
      </w:r>
      <w:r>
        <w:rPr>
          <w:w w:val="105"/>
        </w:rPr>
        <w:t>rate on internal QA reviews.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1000" w:bottom="280" w:left="141" w:right="141"/>
          <w:cols w:num="2" w:equalWidth="0">
            <w:col w:w="3601" w:space="472"/>
            <w:col w:w="7565"/>
          </w:cols>
        </w:sectPr>
      </w:pPr>
    </w:p>
    <w:p>
      <w:pPr>
        <w:pStyle w:val="BodyText"/>
        <w:spacing w:before="31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1520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15200" cy="10706100"/>
                          <a:chExt cx="731520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44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9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29717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930" y="32384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319" y="351472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33362" y="565784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77797"/>
                                </a:moveTo>
                                <a:lnTo>
                                  <a:pt x="27165" y="1457325"/>
                                </a:lnTo>
                                <a:lnTo>
                                  <a:pt x="20472" y="1457325"/>
                                </a:lnTo>
                                <a:lnTo>
                                  <a:pt x="0" y="1477797"/>
                                </a:lnTo>
                                <a:lnTo>
                                  <a:pt x="0" y="1481366"/>
                                </a:lnTo>
                                <a:lnTo>
                                  <a:pt x="0" y="1484490"/>
                                </a:lnTo>
                                <a:lnTo>
                                  <a:pt x="20472" y="1504950"/>
                                </a:lnTo>
                                <a:lnTo>
                                  <a:pt x="27165" y="1504950"/>
                                </a:lnTo>
                                <a:lnTo>
                                  <a:pt x="47625" y="1484490"/>
                                </a:lnTo>
                                <a:lnTo>
                                  <a:pt x="47625" y="14777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49122"/>
                                </a:moveTo>
                                <a:lnTo>
                                  <a:pt x="27165" y="628650"/>
                                </a:lnTo>
                                <a:lnTo>
                                  <a:pt x="20472" y="628650"/>
                                </a:lnTo>
                                <a:lnTo>
                                  <a:pt x="0" y="649122"/>
                                </a:lnTo>
                                <a:lnTo>
                                  <a:pt x="0" y="652691"/>
                                </a:lnTo>
                                <a:lnTo>
                                  <a:pt x="0" y="655815"/>
                                </a:lnTo>
                                <a:lnTo>
                                  <a:pt x="20472" y="676275"/>
                                </a:lnTo>
                                <a:lnTo>
                                  <a:pt x="27165" y="676275"/>
                                </a:lnTo>
                                <a:lnTo>
                                  <a:pt x="47625" y="655815"/>
                                </a:lnTo>
                                <a:lnTo>
                                  <a:pt x="47625" y="6491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00324" y="2409824"/>
                            <a:ext cx="47148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9525">
                                <a:moveTo>
                                  <a:pt x="47148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905112" y="3400424"/>
                            <a:ext cx="295275" cy="6219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75" h="6219825">
                                <a:moveTo>
                                  <a:pt x="47625" y="6192659"/>
                                </a:moveTo>
                                <a:lnTo>
                                  <a:pt x="27165" y="6172200"/>
                                </a:lnTo>
                                <a:lnTo>
                                  <a:pt x="20472" y="6172200"/>
                                </a:lnTo>
                                <a:lnTo>
                                  <a:pt x="0" y="6192659"/>
                                </a:lnTo>
                                <a:lnTo>
                                  <a:pt x="0" y="6196241"/>
                                </a:lnTo>
                                <a:lnTo>
                                  <a:pt x="0" y="6199365"/>
                                </a:lnTo>
                                <a:lnTo>
                                  <a:pt x="20472" y="6219825"/>
                                </a:lnTo>
                                <a:lnTo>
                                  <a:pt x="27165" y="6219825"/>
                                </a:lnTo>
                                <a:lnTo>
                                  <a:pt x="47625" y="6199365"/>
                                </a:lnTo>
                                <a:lnTo>
                                  <a:pt x="47625" y="6192659"/>
                                </a:lnTo>
                                <a:close/>
                              </a:path>
                              <a:path w="295275" h="6219825">
                                <a:moveTo>
                                  <a:pt x="295275" y="5316359"/>
                                </a:moveTo>
                                <a:lnTo>
                                  <a:pt x="274815" y="5295900"/>
                                </a:lnTo>
                                <a:lnTo>
                                  <a:pt x="268122" y="5295900"/>
                                </a:lnTo>
                                <a:lnTo>
                                  <a:pt x="247650" y="5316359"/>
                                </a:lnTo>
                                <a:lnTo>
                                  <a:pt x="247650" y="5319941"/>
                                </a:lnTo>
                                <a:lnTo>
                                  <a:pt x="247650" y="5323065"/>
                                </a:lnTo>
                                <a:lnTo>
                                  <a:pt x="268122" y="5343525"/>
                                </a:lnTo>
                                <a:lnTo>
                                  <a:pt x="274815" y="5343525"/>
                                </a:lnTo>
                                <a:lnTo>
                                  <a:pt x="295275" y="5323065"/>
                                </a:lnTo>
                                <a:lnTo>
                                  <a:pt x="295275" y="5316359"/>
                                </a:lnTo>
                                <a:close/>
                              </a:path>
                              <a:path w="295275" h="6219825">
                                <a:moveTo>
                                  <a:pt x="295275" y="4963934"/>
                                </a:moveTo>
                                <a:lnTo>
                                  <a:pt x="274815" y="4943475"/>
                                </a:lnTo>
                                <a:lnTo>
                                  <a:pt x="268122" y="4943475"/>
                                </a:lnTo>
                                <a:lnTo>
                                  <a:pt x="247650" y="4963934"/>
                                </a:lnTo>
                                <a:lnTo>
                                  <a:pt x="247650" y="4967516"/>
                                </a:lnTo>
                                <a:lnTo>
                                  <a:pt x="247650" y="4970640"/>
                                </a:lnTo>
                                <a:lnTo>
                                  <a:pt x="268122" y="4991100"/>
                                </a:lnTo>
                                <a:lnTo>
                                  <a:pt x="274815" y="4991100"/>
                                </a:lnTo>
                                <a:lnTo>
                                  <a:pt x="295275" y="4970640"/>
                                </a:lnTo>
                                <a:lnTo>
                                  <a:pt x="295275" y="4963934"/>
                                </a:lnTo>
                                <a:close/>
                              </a:path>
                              <a:path w="295275" h="6219825">
                                <a:moveTo>
                                  <a:pt x="295275" y="4459122"/>
                                </a:moveTo>
                                <a:lnTo>
                                  <a:pt x="274815" y="4438650"/>
                                </a:lnTo>
                                <a:lnTo>
                                  <a:pt x="268122" y="4438650"/>
                                </a:lnTo>
                                <a:lnTo>
                                  <a:pt x="247650" y="4459122"/>
                                </a:lnTo>
                                <a:lnTo>
                                  <a:pt x="247650" y="4462691"/>
                                </a:lnTo>
                                <a:lnTo>
                                  <a:pt x="247650" y="4465815"/>
                                </a:lnTo>
                                <a:lnTo>
                                  <a:pt x="268122" y="4486275"/>
                                </a:lnTo>
                                <a:lnTo>
                                  <a:pt x="274815" y="4486275"/>
                                </a:lnTo>
                                <a:lnTo>
                                  <a:pt x="295275" y="4465815"/>
                                </a:lnTo>
                                <a:lnTo>
                                  <a:pt x="295275" y="4459122"/>
                                </a:lnTo>
                                <a:close/>
                              </a:path>
                              <a:path w="295275" h="6219825">
                                <a:moveTo>
                                  <a:pt x="295275" y="3601872"/>
                                </a:moveTo>
                                <a:lnTo>
                                  <a:pt x="274815" y="3581400"/>
                                </a:lnTo>
                                <a:lnTo>
                                  <a:pt x="268122" y="3581400"/>
                                </a:lnTo>
                                <a:lnTo>
                                  <a:pt x="247650" y="3601872"/>
                                </a:lnTo>
                                <a:lnTo>
                                  <a:pt x="247650" y="3605441"/>
                                </a:lnTo>
                                <a:lnTo>
                                  <a:pt x="247650" y="3608565"/>
                                </a:lnTo>
                                <a:lnTo>
                                  <a:pt x="268122" y="3629025"/>
                                </a:lnTo>
                                <a:lnTo>
                                  <a:pt x="274815" y="3629025"/>
                                </a:lnTo>
                                <a:lnTo>
                                  <a:pt x="295275" y="3608565"/>
                                </a:lnTo>
                                <a:lnTo>
                                  <a:pt x="295275" y="3601872"/>
                                </a:lnTo>
                                <a:close/>
                              </a:path>
                              <a:path w="295275" h="6219825">
                                <a:moveTo>
                                  <a:pt x="295275" y="3102635"/>
                                </a:moveTo>
                                <a:lnTo>
                                  <a:pt x="278752" y="3086100"/>
                                </a:lnTo>
                                <a:lnTo>
                                  <a:pt x="264185" y="3086100"/>
                                </a:lnTo>
                                <a:lnTo>
                                  <a:pt x="247650" y="3102635"/>
                                </a:lnTo>
                                <a:lnTo>
                                  <a:pt x="247650" y="3105150"/>
                                </a:lnTo>
                                <a:lnTo>
                                  <a:pt x="247650" y="3107677"/>
                                </a:lnTo>
                                <a:lnTo>
                                  <a:pt x="264185" y="3124200"/>
                                </a:lnTo>
                                <a:lnTo>
                                  <a:pt x="278752" y="3124200"/>
                                </a:lnTo>
                                <a:lnTo>
                                  <a:pt x="295275" y="3107677"/>
                                </a:lnTo>
                                <a:lnTo>
                                  <a:pt x="295275" y="3102635"/>
                                </a:lnTo>
                                <a:close/>
                              </a:path>
                              <a:path w="295275" h="6219825">
                                <a:moveTo>
                                  <a:pt x="295275" y="2601747"/>
                                </a:moveTo>
                                <a:lnTo>
                                  <a:pt x="274815" y="2581275"/>
                                </a:lnTo>
                                <a:lnTo>
                                  <a:pt x="268122" y="2581275"/>
                                </a:lnTo>
                                <a:lnTo>
                                  <a:pt x="247650" y="2601747"/>
                                </a:lnTo>
                                <a:lnTo>
                                  <a:pt x="247650" y="2605316"/>
                                </a:lnTo>
                                <a:lnTo>
                                  <a:pt x="247650" y="2608440"/>
                                </a:lnTo>
                                <a:lnTo>
                                  <a:pt x="268122" y="2628900"/>
                                </a:lnTo>
                                <a:lnTo>
                                  <a:pt x="274815" y="2628900"/>
                                </a:lnTo>
                                <a:lnTo>
                                  <a:pt x="295275" y="2608440"/>
                                </a:lnTo>
                                <a:lnTo>
                                  <a:pt x="295275" y="2601747"/>
                                </a:lnTo>
                                <a:close/>
                              </a:path>
                              <a:path w="295275" h="6219825">
                                <a:moveTo>
                                  <a:pt x="295275" y="2239797"/>
                                </a:moveTo>
                                <a:lnTo>
                                  <a:pt x="274815" y="2219325"/>
                                </a:lnTo>
                                <a:lnTo>
                                  <a:pt x="268122" y="2219325"/>
                                </a:lnTo>
                                <a:lnTo>
                                  <a:pt x="247650" y="2239797"/>
                                </a:lnTo>
                                <a:lnTo>
                                  <a:pt x="247650" y="2243366"/>
                                </a:lnTo>
                                <a:lnTo>
                                  <a:pt x="247650" y="2246490"/>
                                </a:lnTo>
                                <a:lnTo>
                                  <a:pt x="268122" y="2266950"/>
                                </a:lnTo>
                                <a:lnTo>
                                  <a:pt x="274815" y="2266950"/>
                                </a:lnTo>
                                <a:lnTo>
                                  <a:pt x="295275" y="2246490"/>
                                </a:lnTo>
                                <a:lnTo>
                                  <a:pt x="295275" y="2239797"/>
                                </a:lnTo>
                                <a:close/>
                              </a:path>
                              <a:path w="295275" h="6219825">
                                <a:moveTo>
                                  <a:pt x="295275" y="1239672"/>
                                </a:moveTo>
                                <a:lnTo>
                                  <a:pt x="274815" y="1219200"/>
                                </a:lnTo>
                                <a:lnTo>
                                  <a:pt x="268122" y="1219200"/>
                                </a:lnTo>
                                <a:lnTo>
                                  <a:pt x="247650" y="1239672"/>
                                </a:lnTo>
                                <a:lnTo>
                                  <a:pt x="247650" y="1243241"/>
                                </a:lnTo>
                                <a:lnTo>
                                  <a:pt x="247650" y="1246365"/>
                                </a:lnTo>
                                <a:lnTo>
                                  <a:pt x="268122" y="1266825"/>
                                </a:lnTo>
                                <a:lnTo>
                                  <a:pt x="274815" y="1266825"/>
                                </a:lnTo>
                                <a:lnTo>
                                  <a:pt x="295275" y="1246365"/>
                                </a:lnTo>
                                <a:lnTo>
                                  <a:pt x="295275" y="1239672"/>
                                </a:lnTo>
                                <a:close/>
                              </a:path>
                              <a:path w="295275" h="6219825">
                                <a:moveTo>
                                  <a:pt x="295275" y="887247"/>
                                </a:moveTo>
                                <a:lnTo>
                                  <a:pt x="274815" y="866775"/>
                                </a:lnTo>
                                <a:lnTo>
                                  <a:pt x="268122" y="866775"/>
                                </a:lnTo>
                                <a:lnTo>
                                  <a:pt x="247650" y="887247"/>
                                </a:lnTo>
                                <a:lnTo>
                                  <a:pt x="247650" y="890816"/>
                                </a:lnTo>
                                <a:lnTo>
                                  <a:pt x="247650" y="893940"/>
                                </a:lnTo>
                                <a:lnTo>
                                  <a:pt x="268122" y="914400"/>
                                </a:lnTo>
                                <a:lnTo>
                                  <a:pt x="274815" y="914400"/>
                                </a:lnTo>
                                <a:lnTo>
                                  <a:pt x="295275" y="893940"/>
                                </a:lnTo>
                                <a:lnTo>
                                  <a:pt x="295275" y="887247"/>
                                </a:lnTo>
                                <a:close/>
                              </a:path>
                              <a:path w="295275" h="6219825">
                                <a:moveTo>
                                  <a:pt x="295275" y="525297"/>
                                </a:moveTo>
                                <a:lnTo>
                                  <a:pt x="274815" y="504825"/>
                                </a:lnTo>
                                <a:lnTo>
                                  <a:pt x="268122" y="504825"/>
                                </a:lnTo>
                                <a:lnTo>
                                  <a:pt x="247650" y="525297"/>
                                </a:lnTo>
                                <a:lnTo>
                                  <a:pt x="247650" y="528866"/>
                                </a:lnTo>
                                <a:lnTo>
                                  <a:pt x="247650" y="531990"/>
                                </a:lnTo>
                                <a:lnTo>
                                  <a:pt x="268122" y="552450"/>
                                </a:lnTo>
                                <a:lnTo>
                                  <a:pt x="274815" y="552450"/>
                                </a:lnTo>
                                <a:lnTo>
                                  <a:pt x="295275" y="531990"/>
                                </a:lnTo>
                                <a:lnTo>
                                  <a:pt x="295275" y="525297"/>
                                </a:lnTo>
                                <a:close/>
                              </a:path>
                              <a:path w="295275" h="6219825">
                                <a:moveTo>
                                  <a:pt x="295275" y="20472"/>
                                </a:moveTo>
                                <a:lnTo>
                                  <a:pt x="274815" y="0"/>
                                </a:lnTo>
                                <a:lnTo>
                                  <a:pt x="268122" y="0"/>
                                </a:lnTo>
                                <a:lnTo>
                                  <a:pt x="247650" y="20472"/>
                                </a:lnTo>
                                <a:lnTo>
                                  <a:pt x="247650" y="24041"/>
                                </a:lnTo>
                                <a:lnTo>
                                  <a:pt x="247650" y="27165"/>
                                </a:lnTo>
                                <a:lnTo>
                                  <a:pt x="268122" y="47625"/>
                                </a:lnTo>
                                <a:lnTo>
                                  <a:pt x="274815" y="47625"/>
                                </a:lnTo>
                                <a:lnTo>
                                  <a:pt x="295275" y="27165"/>
                                </a:lnTo>
                                <a:lnTo>
                                  <a:pt x="2952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6pt;height:843pt;mso-position-horizontal-relative:page;mso-position-vertical-relative:page;z-index:-15778816" id="docshapegroup1" coordorigin="0,0" coordsize="11520,16860">
                <v:rect style="position:absolute;left:0;top:0;width:4095;height:16860" id="docshape2" filled="true" fillcolor="#f5f5f5" stroked="false">
                  <v:fill type="solid"/>
                </v:rect>
                <v:shape style="position:absolute;left:1;top:0;width:4092;height:2655" id="docshape3" coordorigin="1,0" coordsize="4092,2655" path="m11,2655l1,2655,1,0,4093,0,4093,771,11,2655xe" filled="true" fillcolor="#731b46" stroked="false">
                  <v:path arrowok="t"/>
                  <v:fill type="solid"/>
                </v:shape>
                <v:shape style="position:absolute;left:450;top:630;width:3060;height:3075" type="#_x0000_t75" id="docshape4" stroked="false">
                  <v:imagedata r:id="rId6" o:title=""/>
                </v:shape>
                <v:shape style="position:absolute;left:540;top:735;width:2880;height:2880" type="#_x0000_t75" id="docshape5" stroked="false">
                  <v:imagedata r:id="rId7" o:title=""/>
                </v:shape>
                <v:shape style="position:absolute;left:705;top:4680;width:317;height:317" type="#_x0000_t75" id="docshape6" stroked="false">
                  <v:imagedata r:id="rId8" o:title=""/>
                </v:shape>
                <v:shape style="position:absolute;left:725;top:5100;width:275;height:317" type="#_x0000_t75" id="docshape7" stroked="false">
                  <v:imagedata r:id="rId9" o:title=""/>
                </v:shape>
                <v:shape style="position:absolute;left:706;top:5535;width:315;height:317" type="#_x0000_t75" id="docshape8" stroked="false">
                  <v:imagedata r:id="rId10" o:title=""/>
                </v:shape>
                <v:shape style="position:absolute;left:524;top:8910;width:75;height:3015" id="docshape9" coordorigin="525,8910" coordsize="75,3015" path="m600,11882l599,11877,595,11868,593,11864,586,11857,582,11855,573,11851,568,11850,557,11850,552,11851,543,11855,539,11857,532,11864,530,11868,526,11877,525,11882,525,11888,525,11893,526,11898,530,11907,532,11911,539,11918,543,11920,552,11924,557,11925,568,11925,573,11924,582,11920,586,11918,593,11911,595,11907,599,11898,600,11893,600,11882xm600,11552l599,11547,595,11538,593,11534,586,11527,582,11525,573,11521,568,11520,557,11520,552,11521,543,11525,539,11527,532,11534,530,11538,526,11547,525,11552,525,11558,525,11563,526,11568,530,11577,532,11581,539,11588,543,11590,552,11594,557,11595,568,11595,573,11594,582,11590,586,11588,593,11581,595,11577,599,11568,600,11563,600,11552xm600,11237l599,11232,595,11223,593,11219,586,11212,582,11210,573,11206,568,11205,557,11205,552,11206,543,11210,539,11212,532,11219,530,11223,526,11232,525,11237,525,11243,525,11248,526,11253,530,11262,532,11266,539,11273,543,11275,552,11279,557,11280,568,11280,573,11279,582,11275,586,11273,593,11266,595,11262,599,11253,600,11248,600,11237xm600,10907l599,10902,595,10893,593,10889,586,10882,582,10880,573,10876,568,10875,557,10875,552,10876,543,10880,539,10882,532,10889,530,10893,526,10902,525,10907,525,10913,525,10918,526,10923,530,10932,532,10936,539,10943,543,10945,552,10949,557,10950,568,10950,573,10949,582,10945,586,10943,593,10936,595,10932,599,10923,600,10918,600,10907xm600,10577l599,10572,595,10563,593,10559,586,10552,582,10550,573,10546,568,10545,557,10545,552,10546,543,10550,539,10552,532,10559,530,10563,526,10572,525,10577,525,10583,525,10588,526,10593,530,10602,532,10606,539,10613,543,10615,552,10619,557,10620,568,10620,573,10619,582,10615,586,10613,593,10606,595,10602,599,10593,600,10588,600,10577xm600,10247l599,10242,595,10233,593,10229,586,10222,582,10220,573,10216,568,10215,557,10215,552,10216,543,10220,539,10222,532,10229,530,10233,526,10242,525,10247,525,10253,525,10258,526,10263,530,10272,532,10276,539,10283,543,10285,552,10289,557,10290,568,10290,573,10289,582,10285,586,10283,593,10276,595,10272,599,10263,600,10258,600,10247xm600,9932l599,9927,595,9918,593,9914,586,9907,582,9905,573,9901,568,9900,557,9900,552,9901,543,9905,539,9907,532,9914,530,9918,526,9927,525,9932,525,9938,525,9943,526,9948,530,9957,532,9961,539,9968,543,9970,552,9974,557,9975,568,9975,573,9974,582,9970,586,9968,593,9961,595,9957,599,9948,600,9943,600,9932xm600,9602l599,9597,595,9588,593,9584,586,9577,582,9575,573,9571,568,9570,557,9570,552,9571,543,9575,539,9577,532,9584,530,9588,526,9597,525,9602,525,9608,525,9613,526,9618,530,9627,532,9631,539,9638,543,9640,552,9644,557,9645,568,9645,573,9644,582,9640,586,9638,593,9631,595,9627,599,9618,600,9613,600,9602xm600,9272l599,9267,595,9258,593,9254,586,9247,582,9245,573,9241,568,9240,557,9240,552,9241,543,9245,539,9247,532,9254,530,9258,526,9267,525,9272,525,9278,525,9283,526,9288,530,9297,532,9301,539,9308,543,9310,552,9314,557,9315,568,9315,573,9314,582,9310,586,9308,593,9301,595,9297,599,9288,600,9283,600,9272xm600,8942l599,8937,595,8928,593,8924,586,8917,582,8915,573,8911,568,8910,557,8910,552,8911,543,8915,539,8917,532,8924,530,8928,526,8937,525,8942,525,8948,525,8953,526,8958,530,8967,532,8971,539,8978,543,8980,552,8984,557,8985,568,8985,573,8984,582,8980,586,8978,593,8971,595,8967,599,8958,600,8953,600,8942xe" filled="true" fillcolor="#000000" stroked="false">
                  <v:path arrowok="t"/>
                  <v:fill type="solid"/>
                </v:shape>
                <v:rect style="position:absolute;left:4095;top:3795;width:7425;height:15" id="docshape10" filled="true" fillcolor="#731b46" stroked="false">
                  <v:fill type="solid"/>
                </v:rect>
                <v:shape style="position:absolute;left:4574;top:5355;width:465;height:9795" id="docshape11" coordorigin="4575,5355" coordsize="465,9795" path="m4650,15107l4649,15102,4645,15093,4643,15089,4636,15082,4632,15080,4623,15076,4618,15075,4607,15075,4602,15076,4593,15080,4589,15082,4582,15089,4580,15093,4576,15102,4575,15107,4575,15113,4575,15118,4576,15123,4580,15132,4582,15136,4589,15143,4593,15145,4602,15149,4607,15150,4618,15150,4623,15149,4632,15145,4636,15143,4643,15136,4645,15132,4649,15123,4650,15118,4650,15107xm5040,13727l5039,13722,5035,13713,5033,13709,5026,13702,5022,13700,5013,13696,5008,13695,4997,13695,4992,13696,4983,13700,4979,13702,4972,13709,4970,13713,4966,13722,4965,13727,4965,13733,4965,13738,4966,13743,4970,13752,4972,13756,4979,13763,4983,13765,4992,13769,4997,13770,5008,13770,5013,13769,5022,13765,5026,13763,5033,13756,5035,13752,5039,13743,5040,13738,5040,13727xm5040,13172l5039,13167,5035,13158,5033,13154,5026,13147,5022,13145,5013,13141,5008,13140,4997,13140,4992,13141,4983,13145,4979,13147,4972,13154,4970,13158,4966,13167,4965,13172,4965,13178,4965,13183,4966,13188,4970,13197,4972,13201,4979,13208,4983,13210,4992,13214,4997,13215,5008,13215,5013,13214,5022,13210,5026,13208,5033,13201,5035,13197,5039,13188,5040,13183,5040,13172xm5040,12377l5039,12372,5035,12363,5033,12359,5026,12352,5022,12350,5013,12346,5008,12345,4997,12345,4992,12346,4983,12350,4979,12352,4972,12359,4970,12363,4966,12372,4965,12377,4965,12383,4965,12388,4966,12393,4970,12402,4972,12406,4979,12413,4983,12415,4992,12419,4997,12420,5008,12420,5013,12419,5022,12415,5026,12413,5033,12406,5035,12402,5039,12393,5040,12388,5040,12377xm5040,11027l5039,11022,5035,11013,5033,11009,5026,11002,5022,11000,5013,10996,5008,10995,4997,10995,4992,10996,4983,11000,4979,11002,4972,11009,4970,11013,4966,11022,4965,11027,4965,11033,4965,11038,4966,11043,4970,11052,4972,11056,4979,11063,4983,11065,4992,11069,4997,11070,5008,11070,5013,11069,5022,11065,5026,11063,5033,11056,5035,11052,5039,11043,5040,11038,5040,11027xm5040,10241l5039,10237,5036,10230,5034,10227,5028,10221,5025,10219,5018,10216,5014,10215,4991,10215,4987,10216,4980,10219,4977,10221,4971,10227,4969,10230,4966,10237,4965,10241,4965,10245,4965,10249,4966,10253,4969,10260,4971,10263,4977,10269,4980,10271,4987,10274,4991,10275,5014,10275,5018,10274,5025,10271,5028,10269,5034,10263,5036,10260,5039,10253,5040,10249,5040,10241xm5040,9452l5039,9447,5035,9438,5033,9434,5026,9427,5022,9425,5013,9421,5008,9420,4997,9420,4992,9421,4983,9425,4979,9427,4972,9434,4970,9438,4966,9447,4965,9452,4965,9458,4965,9463,4966,9468,4970,9477,4972,9481,4979,9488,4983,9490,4992,9494,4997,9495,5008,9495,5013,9494,5022,9490,5026,9488,5033,9481,5035,9477,5039,9468,5040,9463,5040,9452xm5040,8882l5039,8877,5035,8868,5033,8864,5026,8857,5022,8855,5013,8851,5008,8850,4997,8850,4992,8851,4983,8855,4979,8857,4972,8864,4970,8868,4966,8877,4965,8882,4965,8888,4965,8893,4966,8898,4970,8907,4972,8911,4979,8918,4983,8920,4992,8924,4997,8925,5008,8925,5013,8924,5022,8920,5026,8918,5033,8911,5035,8907,5039,8898,5040,8893,5040,8882xm5040,7307l5039,7302,5035,7293,5033,7289,5026,7282,5022,7280,5013,7276,5008,7275,4997,7275,4992,7276,4983,7280,4979,7282,4972,7289,4970,7293,4966,7302,4965,7307,4965,7313,4965,7318,4966,7323,4970,7332,4972,7336,4979,7343,4983,7345,4992,7349,4997,7350,5008,7350,5013,7349,5022,7345,5026,7343,5033,7336,5035,7332,5039,7323,5040,7318,5040,7307xm5040,6752l5039,6747,5035,6738,5033,6734,5026,6727,5022,6725,5013,6721,5008,6720,4997,6720,4992,6721,4983,6725,4979,6727,4972,6734,4970,6738,4966,6747,4965,6752,4965,6758,4965,6763,4966,6768,4970,6777,4972,6781,4979,6788,4983,6790,4992,6794,4997,6795,5008,6795,5013,6794,5022,6790,5026,6788,5033,6781,5035,6777,5039,6768,5040,6763,5040,6752xm5040,6182l5039,6177,5035,6168,5033,6164,5026,6157,5022,6155,5013,6151,5008,6150,4997,6150,4992,6151,4983,6155,4979,6157,4972,6164,4970,6168,4966,6177,4965,6182,4965,6188,4965,6193,4966,6198,4970,6207,4972,6211,4979,6218,4983,6220,4992,6224,4997,6225,5008,6225,5013,6224,5022,6220,5026,6218,5033,6211,5035,6207,5039,6198,5040,6193,5040,6182xm5040,5387l5039,5382,5035,5373,5033,5369,5026,5362,5022,5360,5013,5356,5008,5355,4997,5355,4992,5356,4983,5360,4979,5362,4972,5369,4970,5373,4966,5382,4965,5387,4965,5393,4965,5398,4966,5403,4970,5412,4972,5416,4979,5423,4983,5425,4992,5429,4997,5430,5008,5430,5013,5429,5022,5425,5026,5423,5033,5416,5035,5412,5039,5403,5040,5398,5040,53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1"/>
        <w:spacing w:before="1"/>
        <w:ind w:left="4098" w:right="5963"/>
        <w:jc w:val="center"/>
      </w:pPr>
      <w:r>
        <w:rPr>
          <w:smallCaps/>
          <w:color w:val="731B46"/>
          <w:spacing w:val="-2"/>
          <w:w w:val="105"/>
        </w:rPr>
        <w:t>Certifications</w:t>
      </w:r>
    </w:p>
    <w:p>
      <w:pPr>
        <w:pStyle w:val="BodyText"/>
        <w:spacing w:before="16"/>
        <w:rPr>
          <w:b/>
        </w:rPr>
      </w:pPr>
    </w:p>
    <w:p>
      <w:pPr>
        <w:pStyle w:val="BodyText"/>
        <w:ind w:left="4733"/>
      </w:pPr>
      <w:r>
        <w:rPr/>
        <w:t>Associate</w:t>
      </w:r>
      <w:r>
        <w:rPr>
          <w:spacing w:val="14"/>
        </w:rPr>
        <w:t> </w:t>
      </w:r>
      <w:r>
        <w:rPr/>
        <w:t>in</w:t>
      </w:r>
      <w:r>
        <w:rPr>
          <w:spacing w:val="14"/>
        </w:rPr>
        <w:t> </w:t>
      </w:r>
      <w:r>
        <w:rPr/>
        <w:t>Commercial</w:t>
      </w:r>
      <w:r>
        <w:rPr>
          <w:spacing w:val="14"/>
        </w:rPr>
        <w:t> </w:t>
      </w:r>
      <w:r>
        <w:rPr/>
        <w:t>Underwriting,</w:t>
      </w:r>
      <w:r>
        <w:rPr>
          <w:spacing w:val="11"/>
        </w:rPr>
        <w:t> </w:t>
      </w:r>
      <w:r>
        <w:rPr/>
        <w:t>The</w:t>
      </w:r>
      <w:r>
        <w:rPr>
          <w:spacing w:val="14"/>
        </w:rPr>
        <w:t> </w:t>
      </w:r>
      <w:r>
        <w:rPr/>
        <w:t>Institutes,</w:t>
      </w:r>
      <w:r>
        <w:rPr>
          <w:spacing w:val="14"/>
        </w:rPr>
        <w:t> </w:t>
      </w:r>
      <w:r>
        <w:rPr>
          <w:spacing w:val="-4"/>
        </w:rPr>
        <w:t>2022</w:t>
      </w:r>
    </w:p>
    <w:sectPr>
      <w:type w:val="continuous"/>
      <w:pgSz w:w="11920" w:h="16860"/>
      <w:pgMar w:top="1000" w:bottom="28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amir.duart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2026-10-10T05:10:40Z</dcterms:created>
  <dcterms:modified xsi:type="dcterms:W3CDTF">2026-10-10T05:10:40Z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