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spacing w:before="0"/>
        <w:ind w:left="5453" w:right="0" w:firstLine="0"/>
        <w:jc w:val="left"/>
        <w:rPr>
          <w:sz w:val="74"/>
        </w:rPr>
      </w:pPr>
      <w:r>
        <w:rPr>
          <w:b/>
          <w:color w:val="134E5C"/>
          <w:sz w:val="74"/>
        </w:rPr>
        <w:t>Clara</w:t>
      </w:r>
      <w:r>
        <w:rPr>
          <w:b/>
          <w:color w:val="134E5C"/>
          <w:spacing w:val="-3"/>
          <w:sz w:val="74"/>
        </w:rPr>
        <w:t> </w:t>
      </w:r>
      <w:r>
        <w:rPr>
          <w:color w:val="134E5C"/>
          <w:spacing w:val="-2"/>
          <w:sz w:val="74"/>
        </w:rPr>
        <w:t>Quintero</w:t>
      </w:r>
    </w:p>
    <w:p>
      <w:pPr>
        <w:pStyle w:val="Heading2"/>
      </w:pPr>
      <w:r>
        <w:rPr/>
        <w:t>Processing</w:t>
      </w:r>
      <w:r>
        <w:rPr>
          <w:spacing w:val="1"/>
        </w:rPr>
        <w:t> </w:t>
      </w:r>
      <w:r>
        <w:rPr>
          <w:spacing w:val="-2"/>
        </w:rPr>
        <w:t>Manager</w:t>
      </w:r>
    </w:p>
    <w:p>
      <w:pPr>
        <w:pStyle w:val="BodyText"/>
        <w:spacing w:line="261" w:lineRule="auto" w:before="234"/>
        <w:ind w:left="4699" w:right="777"/>
        <w:jc w:val="center"/>
      </w:pPr>
      <w:r>
        <w:rPr>
          <w:w w:val="105"/>
        </w:rPr>
        <w:t>Mortgage</w:t>
      </w:r>
      <w:r>
        <w:rPr>
          <w:spacing w:val="-14"/>
          <w:w w:val="105"/>
        </w:rPr>
        <w:t> </w:t>
      </w:r>
      <w:r>
        <w:rPr>
          <w:w w:val="105"/>
        </w:rPr>
        <w:t>processing</w:t>
      </w:r>
      <w:r>
        <w:rPr>
          <w:spacing w:val="-13"/>
          <w:w w:val="105"/>
        </w:rPr>
        <w:t> </w:t>
      </w:r>
      <w:r>
        <w:rPr>
          <w:w w:val="105"/>
        </w:rPr>
        <w:t>leader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12</w:t>
      </w:r>
      <w:r>
        <w:rPr>
          <w:spacing w:val="-13"/>
          <w:w w:val="105"/>
        </w:rPr>
        <w:t> </w:t>
      </w:r>
      <w:r>
        <w:rPr>
          <w:w w:val="105"/>
        </w:rPr>
        <w:t>years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experience</w:t>
      </w:r>
      <w:r>
        <w:rPr>
          <w:spacing w:val="-14"/>
          <w:w w:val="105"/>
        </w:rPr>
        <w:t> </w:t>
      </w:r>
      <w:r>
        <w:rPr>
          <w:w w:val="105"/>
        </w:rPr>
        <w:t>managing</w:t>
      </w:r>
      <w:r>
        <w:rPr>
          <w:spacing w:val="-13"/>
          <w:w w:val="105"/>
        </w:rPr>
        <w:t> </w:t>
      </w:r>
      <w:r>
        <w:rPr>
          <w:w w:val="105"/>
        </w:rPr>
        <w:t>FHA,</w:t>
      </w:r>
      <w:r>
        <w:rPr>
          <w:spacing w:val="-13"/>
          <w:w w:val="105"/>
        </w:rPr>
        <w:t> </w:t>
      </w:r>
      <w:r>
        <w:rPr>
          <w:w w:val="105"/>
        </w:rPr>
        <w:t>VA, and</w:t>
      </w:r>
      <w:r>
        <w:rPr>
          <w:spacing w:val="-2"/>
          <w:w w:val="105"/>
        </w:rPr>
        <w:t> </w:t>
      </w:r>
      <w:r>
        <w:rPr>
          <w:w w:val="105"/>
        </w:rPr>
        <w:t>conventional</w:t>
      </w:r>
      <w:r>
        <w:rPr>
          <w:spacing w:val="-2"/>
          <w:w w:val="105"/>
        </w:rPr>
        <w:t> </w:t>
      </w:r>
      <w:r>
        <w:rPr>
          <w:w w:val="105"/>
        </w:rPr>
        <w:t>pipelines</w:t>
      </w:r>
      <w:r>
        <w:rPr>
          <w:spacing w:val="-2"/>
          <w:w w:val="105"/>
        </w:rPr>
        <w:t> </w:t>
      </w:r>
      <w:r>
        <w:rPr>
          <w:w w:val="105"/>
        </w:rPr>
        <w:t>using</w:t>
      </w:r>
      <w:r>
        <w:rPr>
          <w:spacing w:val="-2"/>
          <w:w w:val="105"/>
        </w:rPr>
        <w:t> </w:t>
      </w:r>
      <w:r>
        <w:rPr>
          <w:w w:val="105"/>
        </w:rPr>
        <w:t>Encompass,</w:t>
      </w:r>
      <w:r>
        <w:rPr>
          <w:spacing w:val="-2"/>
          <w:w w:val="105"/>
        </w:rPr>
        <w:t> </w:t>
      </w:r>
      <w:r>
        <w:rPr>
          <w:w w:val="105"/>
        </w:rPr>
        <w:t>DU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LP,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Microsoft Excel.</w:t>
      </w:r>
      <w:r>
        <w:rPr>
          <w:spacing w:val="-7"/>
          <w:w w:val="105"/>
        </w:rPr>
        <w:t> </w:t>
      </w:r>
      <w:r>
        <w:rPr>
          <w:w w:val="105"/>
        </w:rPr>
        <w:t>Raised</w:t>
      </w:r>
      <w:r>
        <w:rPr>
          <w:spacing w:val="-7"/>
          <w:w w:val="105"/>
        </w:rPr>
        <w:t> </w:t>
      </w:r>
      <w:r>
        <w:rPr>
          <w:w w:val="105"/>
        </w:rPr>
        <w:t>team</w:t>
      </w:r>
      <w:r>
        <w:rPr>
          <w:spacing w:val="-7"/>
          <w:w w:val="105"/>
        </w:rPr>
        <w:t> </w:t>
      </w:r>
      <w:r>
        <w:rPr>
          <w:w w:val="105"/>
        </w:rPr>
        <w:t>productivity</w:t>
      </w:r>
      <w:r>
        <w:rPr>
          <w:spacing w:val="-7"/>
          <w:w w:val="105"/>
        </w:rPr>
        <w:t> </w:t>
      </w:r>
      <w:r>
        <w:rPr>
          <w:w w:val="105"/>
        </w:rPr>
        <w:t>by</w:t>
      </w:r>
      <w:r>
        <w:rPr>
          <w:spacing w:val="-7"/>
          <w:w w:val="105"/>
        </w:rPr>
        <w:t> </w:t>
      </w:r>
      <w:r>
        <w:rPr>
          <w:w w:val="105"/>
        </w:rPr>
        <w:t>27.8%</w:t>
      </w:r>
      <w:r>
        <w:rPr>
          <w:spacing w:val="-7"/>
          <w:w w:val="105"/>
        </w:rPr>
        <w:t> </w:t>
      </w:r>
      <w:r>
        <w:rPr>
          <w:w w:val="105"/>
        </w:rPr>
        <w:t>by</w:t>
      </w:r>
      <w:r>
        <w:rPr>
          <w:spacing w:val="-7"/>
          <w:w w:val="105"/>
        </w:rPr>
        <w:t> </w:t>
      </w:r>
      <w:r>
        <w:rPr>
          <w:w w:val="105"/>
        </w:rPr>
        <w:t>redesigning</w:t>
      </w:r>
      <w:r>
        <w:rPr>
          <w:spacing w:val="-7"/>
          <w:w w:val="105"/>
        </w:rPr>
        <w:t> </w:t>
      </w:r>
      <w:r>
        <w:rPr>
          <w:w w:val="105"/>
        </w:rPr>
        <w:t>task</w:t>
      </w:r>
      <w:r>
        <w:rPr>
          <w:spacing w:val="-7"/>
          <w:w w:val="105"/>
        </w:rPr>
        <w:t> </w:t>
      </w:r>
      <w:r>
        <w:rPr>
          <w:w w:val="105"/>
        </w:rPr>
        <w:t>assignments, staggering</w:t>
      </w:r>
      <w:r>
        <w:rPr>
          <w:spacing w:val="-1"/>
          <w:w w:val="105"/>
        </w:rPr>
        <w:t> </w:t>
      </w:r>
      <w:r>
        <w:rPr>
          <w:w w:val="105"/>
        </w:rPr>
        <w:t>condition</w:t>
      </w:r>
      <w:r>
        <w:rPr>
          <w:spacing w:val="-1"/>
          <w:w w:val="105"/>
        </w:rPr>
        <w:t> </w:t>
      </w:r>
      <w:r>
        <w:rPr>
          <w:w w:val="105"/>
        </w:rPr>
        <w:t>review</w:t>
      </w:r>
      <w:r>
        <w:rPr>
          <w:spacing w:val="-1"/>
          <w:w w:val="105"/>
        </w:rPr>
        <w:t> </w:t>
      </w:r>
      <w:r>
        <w:rPr>
          <w:w w:val="105"/>
        </w:rPr>
        <w:t>shifts,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setting</w:t>
      </w:r>
      <w:r>
        <w:rPr>
          <w:spacing w:val="-1"/>
          <w:w w:val="105"/>
        </w:rPr>
        <w:t> </w:t>
      </w:r>
      <w:r>
        <w:rPr>
          <w:w w:val="105"/>
        </w:rPr>
        <w:t>daily</w:t>
      </w:r>
      <w:r>
        <w:rPr>
          <w:spacing w:val="-1"/>
          <w:w w:val="105"/>
        </w:rPr>
        <w:t> </w:t>
      </w:r>
      <w:r>
        <w:rPr>
          <w:w w:val="105"/>
        </w:rPr>
        <w:t>ﬁle-touch</w:t>
      </w:r>
      <w:r>
        <w:rPr>
          <w:spacing w:val="-1"/>
          <w:w w:val="105"/>
        </w:rPr>
        <w:t> </w:t>
      </w:r>
      <w:r>
        <w:rPr>
          <w:w w:val="105"/>
        </w:rPr>
        <w:t>targets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7 processors.</w:t>
      </w:r>
      <w:r>
        <w:rPr>
          <w:spacing w:val="-14"/>
          <w:w w:val="105"/>
        </w:rPr>
        <w:t> </w:t>
      </w:r>
      <w:r>
        <w:rPr>
          <w:w w:val="105"/>
        </w:rPr>
        <w:t>Built</w:t>
      </w:r>
      <w:r>
        <w:rPr>
          <w:spacing w:val="-13"/>
          <w:w w:val="105"/>
        </w:rPr>
        <w:t> </w:t>
      </w:r>
      <w:r>
        <w:rPr>
          <w:w w:val="105"/>
        </w:rPr>
        <w:t>capacity</w:t>
      </w:r>
      <w:r>
        <w:rPr>
          <w:spacing w:val="-13"/>
          <w:w w:val="105"/>
        </w:rPr>
        <w:t> </w:t>
      </w:r>
      <w:r>
        <w:rPr>
          <w:w w:val="105"/>
        </w:rPr>
        <w:t>dashboards,</w:t>
      </w:r>
      <w:r>
        <w:rPr>
          <w:spacing w:val="-13"/>
          <w:w w:val="105"/>
        </w:rPr>
        <w:t> </w:t>
      </w:r>
      <w:r>
        <w:rPr>
          <w:w w:val="105"/>
        </w:rPr>
        <w:t>enforced</w:t>
      </w:r>
      <w:r>
        <w:rPr>
          <w:spacing w:val="-13"/>
          <w:w w:val="105"/>
        </w:rPr>
        <w:t> </w:t>
      </w:r>
      <w:r>
        <w:rPr>
          <w:w w:val="105"/>
        </w:rPr>
        <w:t>TRID</w:t>
      </w:r>
      <w:r>
        <w:rPr>
          <w:spacing w:val="-13"/>
          <w:w w:val="105"/>
        </w:rPr>
        <w:t> </w:t>
      </w:r>
      <w:r>
        <w:rPr>
          <w:w w:val="105"/>
        </w:rPr>
        <w:t>compliance</w:t>
      </w:r>
      <w:r>
        <w:rPr>
          <w:spacing w:val="-13"/>
          <w:w w:val="105"/>
        </w:rPr>
        <w:t> </w:t>
      </w:r>
      <w:r>
        <w:rPr>
          <w:w w:val="105"/>
        </w:rPr>
        <w:t>timelines, and maintained borrower satisfaction scores above 89 across all roles.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Heading1"/>
        <w:spacing w:before="62"/>
      </w:pP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74"/>
        <w:rPr>
          <w:sz w:val="24"/>
        </w:rPr>
      </w:pPr>
    </w:p>
    <w:p>
      <w:pPr>
        <w:pStyle w:val="BodyText"/>
        <w:ind w:left="1050"/>
      </w:pPr>
      <w:r>
        <w:rPr>
          <w:color w:val="FFFFFF"/>
        </w:rPr>
        <w:t>(601)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before="151"/>
      </w:pPr>
      <w:r>
        <w:rPr/>
        <w:br w:type="column"/>
      </w:r>
      <w:r>
        <w:rPr/>
      </w:r>
    </w:p>
    <w:p>
      <w:pPr>
        <w:pStyle w:val="BodyText"/>
        <w:spacing w:line="261" w:lineRule="auto"/>
        <w:ind w:left="139" w:right="355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2952749</wp:posOffset>
                </wp:positionH>
                <wp:positionV relativeFrom="paragraph">
                  <wp:posOffset>-416574</wp:posOffset>
                </wp:positionV>
                <wp:extent cx="4615815" cy="2857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32.499969pt;margin-top:-32.801144pt;width:363.45pt;height:22.5pt;mso-position-horizontal-relative:page;mso-position-vertical-relative:paragraph;z-index:15729152" type="#_x0000_t202" id="docshape1" filled="true" fillcolor="#134e5c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Processing Manager | 2020 - Present Leaf</w:t>
      </w:r>
      <w:r>
        <w:rPr>
          <w:spacing w:val="-14"/>
          <w:w w:val="105"/>
        </w:rPr>
        <w:t> </w:t>
      </w:r>
      <w:r>
        <w:rPr>
          <w:w w:val="105"/>
        </w:rPr>
        <w:t>River</w:t>
      </w:r>
      <w:r>
        <w:rPr>
          <w:spacing w:val="-13"/>
          <w:w w:val="105"/>
        </w:rPr>
        <w:t> </w:t>
      </w:r>
      <w:r>
        <w:rPr>
          <w:w w:val="105"/>
        </w:rPr>
        <w:t>Mortgage</w:t>
      </w:r>
      <w:r>
        <w:rPr>
          <w:spacing w:val="-13"/>
          <w:w w:val="105"/>
        </w:rPr>
        <w:t> </w:t>
      </w:r>
      <w:r>
        <w:rPr>
          <w:w w:val="105"/>
        </w:rPr>
        <w:t>Partners,</w:t>
      </w:r>
      <w:r>
        <w:rPr>
          <w:spacing w:val="-13"/>
          <w:w w:val="105"/>
        </w:rPr>
        <w:t> </w:t>
      </w:r>
      <w:r>
        <w:rPr>
          <w:w w:val="105"/>
        </w:rPr>
        <w:t>Laurel,</w:t>
      </w:r>
      <w:r>
        <w:rPr>
          <w:spacing w:val="-13"/>
          <w:w w:val="105"/>
        </w:rPr>
        <w:t> </w:t>
      </w:r>
      <w:r>
        <w:rPr>
          <w:w w:val="105"/>
        </w:rPr>
        <w:t>MS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3066" w:space="1565"/>
            <w:col w:w="7148"/>
          </w:cols>
        </w:sectPr>
      </w:pPr>
    </w:p>
    <w:p>
      <w:pPr>
        <w:pStyle w:val="BodyText"/>
        <w:spacing w:before="1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84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800350" cy="10706100"/>
                          <a:chExt cx="28003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003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6100">
                                <a:moveTo>
                                  <a:pt x="28003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23874" y="571499"/>
                            <a:ext cx="17526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2028825">
                                <a:moveTo>
                                  <a:pt x="1752599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1752599" y="0"/>
                                </a:lnTo>
                                <a:lnTo>
                                  <a:pt x="1752599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42924" y="5905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5" y="6096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2" y="34194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455" y="37623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844" y="410527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57187" y="5000624"/>
                            <a:ext cx="47625" cy="3400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400425">
                                <a:moveTo>
                                  <a:pt x="47625" y="3373259"/>
                                </a:moveTo>
                                <a:lnTo>
                                  <a:pt x="27165" y="3352800"/>
                                </a:lnTo>
                                <a:lnTo>
                                  <a:pt x="20472" y="3352800"/>
                                </a:lnTo>
                                <a:lnTo>
                                  <a:pt x="0" y="3373259"/>
                                </a:lnTo>
                                <a:lnTo>
                                  <a:pt x="0" y="3376841"/>
                                </a:lnTo>
                                <a:lnTo>
                                  <a:pt x="0" y="3379965"/>
                                </a:lnTo>
                                <a:lnTo>
                                  <a:pt x="20472" y="3400425"/>
                                </a:lnTo>
                                <a:lnTo>
                                  <a:pt x="27165" y="3400425"/>
                                </a:lnTo>
                                <a:lnTo>
                                  <a:pt x="47625" y="3379965"/>
                                </a:lnTo>
                                <a:lnTo>
                                  <a:pt x="47625" y="3373259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3173247"/>
                                </a:moveTo>
                                <a:lnTo>
                                  <a:pt x="27165" y="3152775"/>
                                </a:lnTo>
                                <a:lnTo>
                                  <a:pt x="20472" y="3152775"/>
                                </a:lnTo>
                                <a:lnTo>
                                  <a:pt x="0" y="3173247"/>
                                </a:lnTo>
                                <a:lnTo>
                                  <a:pt x="0" y="3176816"/>
                                </a:lnTo>
                                <a:lnTo>
                                  <a:pt x="0" y="3179940"/>
                                </a:lnTo>
                                <a:lnTo>
                                  <a:pt x="20472" y="3200400"/>
                                </a:lnTo>
                                <a:lnTo>
                                  <a:pt x="27165" y="3200400"/>
                                </a:lnTo>
                                <a:lnTo>
                                  <a:pt x="47625" y="3179940"/>
                                </a:lnTo>
                                <a:lnTo>
                                  <a:pt x="47625" y="3173247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2973222"/>
                                </a:moveTo>
                                <a:lnTo>
                                  <a:pt x="27165" y="2952750"/>
                                </a:lnTo>
                                <a:lnTo>
                                  <a:pt x="20472" y="2952750"/>
                                </a:lnTo>
                                <a:lnTo>
                                  <a:pt x="0" y="2973222"/>
                                </a:lnTo>
                                <a:lnTo>
                                  <a:pt x="0" y="2976791"/>
                                </a:lnTo>
                                <a:lnTo>
                                  <a:pt x="0" y="2979915"/>
                                </a:lnTo>
                                <a:lnTo>
                                  <a:pt x="20472" y="3000375"/>
                                </a:lnTo>
                                <a:lnTo>
                                  <a:pt x="27165" y="3000375"/>
                                </a:lnTo>
                                <a:lnTo>
                                  <a:pt x="47625" y="2979915"/>
                                </a:lnTo>
                                <a:lnTo>
                                  <a:pt x="47625" y="2973222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2773197"/>
                                </a:moveTo>
                                <a:lnTo>
                                  <a:pt x="27165" y="2752725"/>
                                </a:lnTo>
                                <a:lnTo>
                                  <a:pt x="20472" y="2752725"/>
                                </a:lnTo>
                                <a:lnTo>
                                  <a:pt x="0" y="2773197"/>
                                </a:lnTo>
                                <a:lnTo>
                                  <a:pt x="0" y="2776766"/>
                                </a:lnTo>
                                <a:lnTo>
                                  <a:pt x="0" y="2779890"/>
                                </a:lnTo>
                                <a:lnTo>
                                  <a:pt x="20472" y="2800350"/>
                                </a:lnTo>
                                <a:lnTo>
                                  <a:pt x="27165" y="2800350"/>
                                </a:lnTo>
                                <a:lnTo>
                                  <a:pt x="47625" y="2779890"/>
                                </a:lnTo>
                                <a:lnTo>
                                  <a:pt x="47625" y="2773197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2420772"/>
                                </a:moveTo>
                                <a:lnTo>
                                  <a:pt x="27165" y="2400300"/>
                                </a:lnTo>
                                <a:lnTo>
                                  <a:pt x="20472" y="2400300"/>
                                </a:lnTo>
                                <a:lnTo>
                                  <a:pt x="0" y="2420772"/>
                                </a:lnTo>
                                <a:lnTo>
                                  <a:pt x="0" y="2424341"/>
                                </a:lnTo>
                                <a:lnTo>
                                  <a:pt x="0" y="2427465"/>
                                </a:lnTo>
                                <a:lnTo>
                                  <a:pt x="20472" y="2447925"/>
                                </a:lnTo>
                                <a:lnTo>
                                  <a:pt x="27165" y="2447925"/>
                                </a:lnTo>
                                <a:lnTo>
                                  <a:pt x="47625" y="2427465"/>
                                </a:lnTo>
                                <a:lnTo>
                                  <a:pt x="47625" y="2420772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2220747"/>
                                </a:moveTo>
                                <a:lnTo>
                                  <a:pt x="27165" y="2200275"/>
                                </a:lnTo>
                                <a:lnTo>
                                  <a:pt x="20472" y="2200275"/>
                                </a:lnTo>
                                <a:lnTo>
                                  <a:pt x="0" y="2220747"/>
                                </a:lnTo>
                                <a:lnTo>
                                  <a:pt x="0" y="2224316"/>
                                </a:lnTo>
                                <a:lnTo>
                                  <a:pt x="0" y="2227440"/>
                                </a:lnTo>
                                <a:lnTo>
                                  <a:pt x="20472" y="2247900"/>
                                </a:lnTo>
                                <a:lnTo>
                                  <a:pt x="27165" y="2247900"/>
                                </a:lnTo>
                                <a:lnTo>
                                  <a:pt x="47625" y="2227440"/>
                                </a:lnTo>
                                <a:lnTo>
                                  <a:pt x="47625" y="2220747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2020722"/>
                                </a:moveTo>
                                <a:lnTo>
                                  <a:pt x="27165" y="2000250"/>
                                </a:lnTo>
                                <a:lnTo>
                                  <a:pt x="20472" y="2000250"/>
                                </a:lnTo>
                                <a:lnTo>
                                  <a:pt x="0" y="2020722"/>
                                </a:lnTo>
                                <a:lnTo>
                                  <a:pt x="0" y="2024291"/>
                                </a:lnTo>
                                <a:lnTo>
                                  <a:pt x="0" y="2027415"/>
                                </a:lnTo>
                                <a:lnTo>
                                  <a:pt x="20472" y="2047875"/>
                                </a:lnTo>
                                <a:lnTo>
                                  <a:pt x="27165" y="2047875"/>
                                </a:lnTo>
                                <a:lnTo>
                                  <a:pt x="47625" y="2027415"/>
                                </a:lnTo>
                                <a:lnTo>
                                  <a:pt x="47625" y="2020722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1820697"/>
                                </a:moveTo>
                                <a:lnTo>
                                  <a:pt x="27165" y="1800225"/>
                                </a:lnTo>
                                <a:lnTo>
                                  <a:pt x="20472" y="1800225"/>
                                </a:lnTo>
                                <a:lnTo>
                                  <a:pt x="0" y="1820697"/>
                                </a:lnTo>
                                <a:lnTo>
                                  <a:pt x="0" y="1824266"/>
                                </a:lnTo>
                                <a:lnTo>
                                  <a:pt x="0" y="1827390"/>
                                </a:lnTo>
                                <a:lnTo>
                                  <a:pt x="20472" y="1847850"/>
                                </a:lnTo>
                                <a:lnTo>
                                  <a:pt x="27165" y="1847850"/>
                                </a:lnTo>
                                <a:lnTo>
                                  <a:pt x="47625" y="1827390"/>
                                </a:lnTo>
                                <a:lnTo>
                                  <a:pt x="47625" y="1820697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34004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20.5pt;height:843pt;mso-position-horizontal-relative:page;mso-position-vertical-relative:page;z-index:-15788032" id="docshapegroup2" coordorigin="0,0" coordsize="4410,16860">
                <v:rect style="position:absolute;left:0;top:0;width:4410;height:16860" id="docshape3" filled="true" fillcolor="#134e5c" stroked="false">
                  <v:fill type="solid"/>
                </v:rect>
                <v:rect style="position:absolute;left:825;top:900;width:2760;height:3195" id="docshape4" filled="true" fillcolor="#be9000" stroked="false">
                  <v:fill type="solid"/>
                </v:rect>
                <v:rect style="position:absolute;left:855;top:930;width:2700;height:3135" id="docshape5" filled="false" stroked="true" strokeweight="3.0pt" strokecolor="#ffffff">
                  <v:stroke dashstyle="solid"/>
                </v:rect>
                <v:shape style="position:absolute;left:885;top:960;width:2640;height:3075" type="#_x0000_t75" id="docshape6" stroked="false">
                  <v:imagedata r:id="rId5" o:title=""/>
                </v:shape>
                <v:shape style="position:absolute;left:720;top:5385;width:317;height:317" type="#_x0000_t75" id="docshape7" stroked="false">
                  <v:imagedata r:id="rId6" o:title=""/>
                </v:shape>
                <v:shape style="position:absolute;left:740;top:5925;width:275;height:317" type="#_x0000_t75" id="docshape8" stroked="false">
                  <v:imagedata r:id="rId7" o:title=""/>
                </v:shape>
                <v:shape style="position:absolute;left:721;top:6465;width:315;height:317" type="#_x0000_t75" id="docshape9" stroked="false">
                  <v:imagedata r:id="rId8" o:title=""/>
                </v:shape>
                <v:shape style="position:absolute;left:719;top:7875;width:75;height:5355" id="docshape10" coordorigin="720,7875" coordsize="75,5355" path="m795,13187l794,13182,790,13173,788,13169,781,13162,777,13160,768,13156,763,13155,752,13155,747,13156,738,13160,734,13162,727,13169,725,13173,721,13182,720,13187,720,13193,720,13198,721,13203,725,13212,727,13216,734,13223,738,13225,747,13229,752,13230,763,13230,768,13229,777,13225,781,13223,788,13216,790,13212,794,13203,795,13198,795,13187xm795,12872l794,12867,790,12858,788,12854,781,12847,777,12845,768,12841,763,12840,752,12840,747,12841,738,12845,734,12847,727,12854,725,12858,721,12867,720,12872,720,12878,720,12883,721,12888,725,12897,727,12901,734,12908,738,12910,747,12914,752,12915,763,12915,768,12914,777,12910,781,12908,788,12901,790,12897,794,12888,795,12883,795,12872xm795,12557l794,12552,790,12543,788,12539,781,12532,777,12530,768,12526,763,12525,752,12525,747,12526,738,12530,734,12532,727,12539,725,12543,721,12552,720,12557,720,12563,720,12568,721,12573,725,12582,727,12586,734,12593,738,12595,747,12599,752,12600,763,12600,768,12599,777,12595,781,12593,788,12586,790,12582,794,12573,795,12568,795,12557xm795,12242l794,12237,790,12228,788,12224,781,12217,777,12215,768,12211,763,12210,752,12210,747,12211,738,12215,734,12217,727,12224,725,12228,721,12237,720,12242,720,12248,720,12253,721,12258,725,12267,727,12271,734,12278,738,12280,747,12284,752,12285,763,12285,768,12284,777,12280,781,12278,788,12271,790,12267,794,12258,795,12253,795,12242xm795,11687l794,11682,790,11673,788,11669,781,11662,777,11660,768,11656,763,11655,752,11655,747,11656,738,11660,734,11662,727,11669,725,11673,721,11682,720,11687,720,11693,720,11698,721,11703,725,11712,727,11716,734,11723,738,11725,747,11729,752,11730,763,11730,768,11729,777,11725,781,11723,788,11716,790,11712,794,11703,795,11698,795,11687xm795,11372l794,11367,790,11358,788,11354,781,11347,777,11345,768,11341,763,11340,752,11340,747,11341,738,11345,734,11347,727,11354,725,11358,721,11367,720,11372,720,11378,720,11383,721,11388,725,11397,727,11401,734,11408,738,11410,747,11414,752,11415,763,11415,768,11414,777,11410,781,11408,788,11401,790,11397,794,11388,795,11383,795,11372xm795,11057l794,11052,790,11043,788,11039,781,11032,777,11030,768,11026,763,11025,752,11025,747,11026,738,11030,734,11032,727,11039,725,11043,721,11052,720,11057,720,11063,720,11068,721,11073,725,11082,727,11086,734,11093,738,11095,747,11099,752,11100,763,11100,768,11099,777,11095,781,11093,788,11086,790,11082,794,11073,795,11068,795,11057xm795,10742l794,10737,790,10728,788,10724,781,10717,777,10715,768,10711,763,10710,752,10710,747,10711,738,10715,734,10717,727,10724,725,10728,721,10737,720,10742,720,10748,720,10753,721,10758,725,10767,727,10771,734,10778,738,10780,747,10784,752,10785,763,10785,768,10784,777,10780,781,10778,788,10771,790,10767,794,10758,795,10753,795,10742xm795,10427l794,10422,790,10413,788,10409,781,10402,777,10400,768,10396,763,10395,752,10395,747,10396,738,10400,734,10402,727,10409,725,10413,721,10422,720,10427,720,10433,720,10438,721,10443,725,10452,727,10456,734,10463,738,10465,747,10469,752,10470,763,10470,768,10469,777,10465,781,10463,788,10456,790,10452,794,10443,795,10438,795,10427xm795,10097l794,10092,790,10083,788,10079,781,10072,777,10070,768,10066,763,10065,752,10065,747,10066,738,10070,734,10072,727,10079,725,10083,721,10092,720,10097,720,10103,720,10108,721,10113,725,10122,727,10126,734,10133,738,10135,747,10139,752,10140,763,10140,768,10139,777,10135,781,10133,788,10126,790,10122,794,10113,795,10108,795,10097xm795,7907l794,7902,790,7893,788,7889,781,7882,777,7880,768,7876,763,7875,752,7875,747,7876,738,7880,734,7882,727,7889,725,7893,721,7902,720,7907,720,7913,720,7918,721,7923,725,7932,727,7936,734,7943,738,7945,747,7949,752,7950,763,7950,768,7949,777,7945,781,7943,788,7936,790,7932,794,7923,795,7918,795,79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626" w:lineRule="auto"/>
        <w:ind w:left="1050"/>
      </w:pPr>
      <w:hyperlink r:id="rId9">
        <w:r>
          <w:rPr>
            <w:color w:val="FFFFFF"/>
            <w:spacing w:val="-2"/>
          </w:rPr>
          <w:t>clara.quintero@example.com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Laurel, MS 12345</w:t>
      </w:r>
    </w:p>
    <w:p>
      <w:pPr>
        <w:pStyle w:val="Heading1"/>
        <w:spacing w:before="168"/>
      </w:pPr>
      <w:r>
        <w:rPr>
          <w:color w:val="FFFFFF"/>
          <w:spacing w:val="-2"/>
        </w:rPr>
        <w:t>EDUCATION</w:t>
      </w:r>
    </w:p>
    <w:p>
      <w:pPr>
        <w:pStyle w:val="BodyText"/>
        <w:spacing w:line="310" w:lineRule="atLeast" w:before="202"/>
        <w:ind w:left="882" w:right="1399"/>
      </w:pPr>
      <w:r>
        <w:rPr>
          <w:color w:val="FFFFFF"/>
        </w:rPr>
        <w:t>BSBA</w:t>
      </w:r>
      <w:r>
        <w:rPr>
          <w:color w:val="FFFFFF"/>
          <w:spacing w:val="-9"/>
        </w:rPr>
        <w:t> </w:t>
      </w:r>
      <w:r>
        <w:rPr>
          <w:color w:val="FFFFFF"/>
        </w:rPr>
        <w:t>Finance </w:t>
      </w:r>
      <w:r>
        <w:rPr>
          <w:color w:val="FFFFFF"/>
          <w:w w:val="105"/>
        </w:rPr>
        <w:t>2010 - 2014</w:t>
      </w:r>
    </w:p>
    <w:p>
      <w:pPr>
        <w:pStyle w:val="BodyText"/>
        <w:spacing w:line="261" w:lineRule="auto" w:before="23"/>
        <w:ind w:left="882"/>
      </w:pPr>
      <w:r>
        <w:rPr>
          <w:color w:val="FFFFFF"/>
          <w:spacing w:val="-2"/>
          <w:w w:val="105"/>
        </w:rPr>
        <w:t>University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Southern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Mississippi, </w:t>
      </w:r>
      <w:r>
        <w:rPr>
          <w:color w:val="FFFFFF"/>
          <w:w w:val="105"/>
        </w:rPr>
        <w:t>Hattiesburg, MS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9"/>
        <w:rPr>
          <w:sz w:val="24"/>
        </w:rPr>
      </w:pPr>
    </w:p>
    <w:p>
      <w:pPr>
        <w:pStyle w:val="BodyText"/>
        <w:spacing w:line="364" w:lineRule="auto"/>
        <w:ind w:left="882" w:right="1695"/>
      </w:pPr>
      <w:r>
        <w:rPr>
          <w:color w:val="FFFFFF"/>
          <w:spacing w:val="-2"/>
        </w:rPr>
        <w:t>Encompass </w:t>
      </w:r>
      <w:r>
        <w:rPr>
          <w:color w:val="FFFFFF"/>
          <w:w w:val="105"/>
        </w:rPr>
        <w:t>DU and LP</w:t>
      </w:r>
    </w:p>
    <w:p>
      <w:pPr>
        <w:pStyle w:val="BodyText"/>
        <w:spacing w:line="364" w:lineRule="auto" w:before="1"/>
        <w:ind w:left="882" w:right="1399"/>
      </w:pPr>
      <w:r>
        <w:rPr>
          <w:color w:val="FFFFFF"/>
          <w:spacing w:val="-2"/>
          <w:w w:val="105"/>
        </w:rPr>
        <w:t>TRID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Compliance </w:t>
      </w:r>
      <w:r>
        <w:rPr>
          <w:color w:val="FFFFFF"/>
          <w:w w:val="105"/>
        </w:rPr>
        <w:t>HMDA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Reporting</w:t>
      </w:r>
    </w:p>
    <w:p>
      <w:pPr>
        <w:pStyle w:val="BodyText"/>
        <w:spacing w:before="1"/>
        <w:ind w:left="882"/>
      </w:pPr>
      <w:r>
        <w:rPr>
          <w:color w:val="FFFFFF"/>
        </w:rPr>
        <w:t>FHA</w:t>
      </w:r>
      <w:r>
        <w:rPr>
          <w:color w:val="FFFFFF"/>
          <w:spacing w:val="-5"/>
        </w:rPr>
        <w:t> </w:t>
      </w:r>
      <w:r>
        <w:rPr>
          <w:color w:val="FFFFFF"/>
        </w:rPr>
        <w:t>and</w:t>
      </w:r>
      <w:r>
        <w:rPr>
          <w:color w:val="FFFFFF"/>
          <w:spacing w:val="6"/>
        </w:rPr>
        <w:t> </w:t>
      </w:r>
      <w:r>
        <w:rPr>
          <w:color w:val="FFFFFF"/>
        </w:rPr>
        <w:t>VA</w:t>
      </w:r>
      <w:r>
        <w:rPr>
          <w:color w:val="FFFFFF"/>
          <w:spacing w:val="-5"/>
        </w:rPr>
        <w:t> </w:t>
      </w:r>
      <w:r>
        <w:rPr>
          <w:color w:val="FFFFFF"/>
        </w:rPr>
        <w:t>Loan</w:t>
      </w:r>
      <w:r>
        <w:rPr>
          <w:color w:val="FFFFFF"/>
          <w:spacing w:val="6"/>
        </w:rPr>
        <w:t> </w:t>
      </w:r>
      <w:r>
        <w:rPr>
          <w:color w:val="FFFFFF"/>
          <w:spacing w:val="-2"/>
        </w:rPr>
        <w:t>Guidelines</w:t>
      </w:r>
    </w:p>
    <w:p>
      <w:pPr>
        <w:pStyle w:val="BodyText"/>
        <w:spacing w:line="261" w:lineRule="auto" w:before="108"/>
        <w:ind w:left="882"/>
      </w:pPr>
      <w:r>
        <w:rPr>
          <w:color w:val="FFFFFF"/>
          <w:spacing w:val="-2"/>
          <w:w w:val="105"/>
        </w:rPr>
        <w:t>Conventional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Underwriting Guidelines</w:t>
      </w:r>
    </w:p>
    <w:p>
      <w:pPr>
        <w:pStyle w:val="BodyText"/>
        <w:spacing w:line="364" w:lineRule="auto" w:before="104"/>
        <w:ind w:left="882" w:right="1399"/>
      </w:pPr>
      <w:r>
        <w:rPr>
          <w:color w:val="FFFFFF"/>
          <w:spacing w:val="-2"/>
          <w:w w:val="105"/>
        </w:rPr>
        <w:t>DocMagic Microsoft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Excel</w:t>
      </w:r>
    </w:p>
    <w:p>
      <w:pPr>
        <w:pStyle w:val="BodyText"/>
        <w:ind w:left="882"/>
      </w:pPr>
      <w:r>
        <w:rPr>
          <w:color w:val="FFFFFF"/>
        </w:rPr>
        <w:t>Pipeline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Management</w:t>
      </w:r>
    </w:p>
    <w:p>
      <w:pPr>
        <w:pStyle w:val="BodyText"/>
        <w:spacing w:before="108"/>
        <w:ind w:left="882"/>
      </w:pPr>
      <w:r>
        <w:rPr>
          <w:color w:val="FFFFFF"/>
        </w:rPr>
        <w:t>Team</w:t>
      </w:r>
      <w:r>
        <w:rPr>
          <w:color w:val="FFFFFF"/>
          <w:spacing w:val="5"/>
        </w:rPr>
        <w:t> </w:t>
      </w:r>
      <w:r>
        <w:rPr>
          <w:color w:val="FFFFFF"/>
        </w:rPr>
        <w:t>Coaching</w:t>
      </w:r>
      <w:r>
        <w:rPr>
          <w:color w:val="FFFFFF"/>
          <w:spacing w:val="6"/>
        </w:rPr>
        <w:t> </w:t>
      </w:r>
      <w:r>
        <w:rPr>
          <w:color w:val="FFFFFF"/>
        </w:rPr>
        <w:t>and</w:t>
      </w:r>
      <w:r>
        <w:rPr>
          <w:color w:val="FFFFFF"/>
          <w:spacing w:val="5"/>
        </w:rPr>
        <w:t> </w:t>
      </w:r>
      <w:r>
        <w:rPr>
          <w:color w:val="FFFFFF"/>
          <w:spacing w:val="-2"/>
        </w:rPr>
        <w:t>Mentoring</w:t>
      </w:r>
    </w:p>
    <w:p>
      <w:pPr>
        <w:pStyle w:val="BodyText"/>
        <w:tabs>
          <w:tab w:pos="715" w:val="left" w:leader="none"/>
        </w:tabs>
        <w:spacing w:line="261" w:lineRule="auto" w:before="168"/>
        <w:ind w:left="715" w:right="571" w:hanging="298"/>
      </w:pPr>
      <w:r>
        <w:rPr/>
        <w:br w:type="column"/>
      </w: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Raised</w:t>
      </w:r>
      <w:r>
        <w:rPr>
          <w:spacing w:val="-14"/>
          <w:w w:val="105"/>
        </w:rPr>
        <w:t> </w:t>
      </w:r>
      <w:r>
        <w:rPr>
          <w:w w:val="105"/>
        </w:rPr>
        <w:t>team</w:t>
      </w:r>
      <w:r>
        <w:rPr>
          <w:spacing w:val="-13"/>
          <w:w w:val="105"/>
        </w:rPr>
        <w:t> </w:t>
      </w:r>
      <w:r>
        <w:rPr>
          <w:w w:val="105"/>
        </w:rPr>
        <w:t>productivity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27.8%</w:t>
      </w:r>
      <w:r>
        <w:rPr>
          <w:spacing w:val="-13"/>
          <w:w w:val="105"/>
        </w:rPr>
        <w:t> </w:t>
      </w:r>
      <w:r>
        <w:rPr>
          <w:w w:val="105"/>
        </w:rPr>
        <w:t>within</w:t>
      </w:r>
      <w:r>
        <w:rPr>
          <w:spacing w:val="-13"/>
          <w:w w:val="105"/>
        </w:rPr>
        <w:t> </w:t>
      </w:r>
      <w:r>
        <w:rPr>
          <w:w w:val="105"/>
        </w:rPr>
        <w:t>9</w:t>
      </w:r>
      <w:r>
        <w:rPr>
          <w:spacing w:val="-13"/>
          <w:w w:val="105"/>
        </w:rPr>
        <w:t> </w:t>
      </w:r>
      <w:r>
        <w:rPr>
          <w:w w:val="105"/>
        </w:rPr>
        <w:t>months</w:t>
      </w:r>
      <w:r>
        <w:rPr>
          <w:spacing w:val="-14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redesigning</w:t>
      </w:r>
      <w:r>
        <w:rPr>
          <w:spacing w:val="-13"/>
          <w:w w:val="105"/>
        </w:rPr>
        <w:t> </w:t>
      </w:r>
      <w:r>
        <w:rPr>
          <w:w w:val="105"/>
        </w:rPr>
        <w:t>task assignments, staggering condition review shifts, and setting daily ﬁle-touch targets for 7 processors.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72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Achieved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borrower</w:t>
      </w:r>
      <w:r>
        <w:rPr>
          <w:spacing w:val="-13"/>
          <w:w w:val="105"/>
        </w:rPr>
        <w:t> </w:t>
      </w:r>
      <w:r>
        <w:rPr>
          <w:w w:val="105"/>
        </w:rPr>
        <w:t>satisfaction</w:t>
      </w:r>
      <w:r>
        <w:rPr>
          <w:spacing w:val="-13"/>
          <w:w w:val="105"/>
        </w:rPr>
        <w:t> </w:t>
      </w:r>
      <w:r>
        <w:rPr>
          <w:w w:val="105"/>
        </w:rPr>
        <w:t>score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91.4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4"/>
          <w:w w:val="105"/>
        </w:rPr>
        <w:t> </w:t>
      </w:r>
      <w:r>
        <w:rPr>
          <w:w w:val="105"/>
        </w:rPr>
        <w:t>requiring</w:t>
      </w:r>
      <w:r>
        <w:rPr>
          <w:spacing w:val="-13"/>
          <w:w w:val="105"/>
        </w:rPr>
        <w:t> </w:t>
      </w:r>
      <w:r>
        <w:rPr>
          <w:w w:val="105"/>
        </w:rPr>
        <w:t>same-day status callbacks, standardizing update templates, and auditing 12 borrower interactions per week.</w:t>
      </w:r>
    </w:p>
    <w:p>
      <w:pPr>
        <w:pStyle w:val="BodyText"/>
        <w:tabs>
          <w:tab w:pos="715" w:val="left" w:leader="none"/>
        </w:tabs>
        <w:spacing w:line="261" w:lineRule="auto" w:before="103"/>
        <w:ind w:left="715" w:right="643" w:hanging="298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Built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weekly</w:t>
      </w:r>
      <w:r>
        <w:rPr>
          <w:spacing w:val="-13"/>
          <w:w w:val="105"/>
        </w:rPr>
        <w:t> </w:t>
      </w:r>
      <w:r>
        <w:rPr>
          <w:w w:val="105"/>
        </w:rPr>
        <w:t>capacity</w:t>
      </w:r>
      <w:r>
        <w:rPr>
          <w:spacing w:val="-13"/>
          <w:w w:val="105"/>
        </w:rPr>
        <w:t> </w:t>
      </w:r>
      <w:r>
        <w:rPr>
          <w:w w:val="105"/>
        </w:rPr>
        <w:t>dashboard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Microsoft</w:t>
      </w:r>
      <w:r>
        <w:rPr>
          <w:spacing w:val="-13"/>
          <w:w w:val="105"/>
        </w:rPr>
        <w:t> </w:t>
      </w:r>
      <w:r>
        <w:rPr>
          <w:w w:val="105"/>
        </w:rPr>
        <w:t>Excel</w:t>
      </w:r>
      <w:r>
        <w:rPr>
          <w:spacing w:val="-14"/>
          <w:w w:val="105"/>
        </w:rPr>
        <w:t> </w:t>
      </w:r>
      <w:r>
        <w:rPr>
          <w:w w:val="105"/>
        </w:rPr>
        <w:t>that</w:t>
      </w:r>
      <w:r>
        <w:rPr>
          <w:spacing w:val="-13"/>
          <w:w w:val="105"/>
        </w:rPr>
        <w:t> </w:t>
      </w:r>
      <w:r>
        <w:rPr>
          <w:w w:val="105"/>
        </w:rPr>
        <w:t>tracked</w:t>
      </w:r>
      <w:r>
        <w:rPr>
          <w:spacing w:val="-13"/>
          <w:w w:val="105"/>
        </w:rPr>
        <w:t> </w:t>
      </w:r>
      <w:r>
        <w:rPr>
          <w:w w:val="105"/>
        </w:rPr>
        <w:t>each processor's open conditions, pending appraisals, and disclosure deadlines across FHA, VA, and conventional pipelines.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52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Established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vendor</w:t>
      </w:r>
      <w:r>
        <w:rPr>
          <w:spacing w:val="-13"/>
          <w:w w:val="105"/>
        </w:rPr>
        <w:t> </w:t>
      </w:r>
      <w:r>
        <w:rPr>
          <w:w w:val="105"/>
        </w:rPr>
        <w:t>escalation</w:t>
      </w:r>
      <w:r>
        <w:rPr>
          <w:spacing w:val="-13"/>
          <w:w w:val="105"/>
        </w:rPr>
        <w:t> </w:t>
      </w:r>
      <w:r>
        <w:rPr>
          <w:w w:val="105"/>
        </w:rPr>
        <w:t>protocol</w:t>
      </w:r>
      <w:r>
        <w:rPr>
          <w:spacing w:val="-13"/>
          <w:w w:val="105"/>
        </w:rPr>
        <w:t> </w:t>
      </w:r>
      <w:r>
        <w:rPr>
          <w:w w:val="105"/>
        </w:rPr>
        <w:t>that</w:t>
      </w:r>
      <w:r>
        <w:rPr>
          <w:spacing w:val="-13"/>
          <w:w w:val="105"/>
        </w:rPr>
        <w:t> </w:t>
      </w:r>
      <w:r>
        <w:rPr>
          <w:w w:val="105"/>
        </w:rPr>
        <w:t>reduced</w:t>
      </w:r>
      <w:r>
        <w:rPr>
          <w:spacing w:val="-13"/>
          <w:w w:val="105"/>
        </w:rPr>
        <w:t> </w:t>
      </w:r>
      <w:r>
        <w:rPr>
          <w:w w:val="105"/>
        </w:rPr>
        <w:t>stalled</w:t>
      </w:r>
      <w:r>
        <w:rPr>
          <w:spacing w:val="-14"/>
          <w:w w:val="105"/>
        </w:rPr>
        <w:t> </w:t>
      </w:r>
      <w:r>
        <w:rPr>
          <w:w w:val="105"/>
        </w:rPr>
        <w:t>third-party reports</w:t>
      </w:r>
      <w:r>
        <w:rPr>
          <w:spacing w:val="-3"/>
          <w:w w:val="105"/>
        </w:rPr>
        <w:t> </w:t>
      </w:r>
      <w:r>
        <w:rPr>
          <w:w w:val="105"/>
        </w:rPr>
        <w:t>from</w:t>
      </w:r>
      <w:r>
        <w:rPr>
          <w:spacing w:val="-3"/>
          <w:w w:val="105"/>
        </w:rPr>
        <w:t> </w:t>
      </w:r>
      <w:r>
        <w:rPr>
          <w:w w:val="105"/>
        </w:rPr>
        <w:t>6</w:t>
      </w:r>
      <w:r>
        <w:rPr>
          <w:spacing w:val="-3"/>
          <w:w w:val="105"/>
        </w:rPr>
        <w:t> </w:t>
      </w:r>
      <w:r>
        <w:rPr>
          <w:w w:val="105"/>
        </w:rPr>
        <w:t>per</w:t>
      </w:r>
      <w:r>
        <w:rPr>
          <w:spacing w:val="-3"/>
          <w:w w:val="105"/>
        </w:rPr>
        <w:t> </w:t>
      </w:r>
      <w:r>
        <w:rPr>
          <w:w w:val="105"/>
        </w:rPr>
        <w:t>month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1,</w:t>
      </w:r>
      <w:r>
        <w:rPr>
          <w:spacing w:val="-3"/>
          <w:w w:val="105"/>
        </w:rPr>
        <w:t> </w:t>
      </w:r>
      <w:r>
        <w:rPr>
          <w:w w:val="105"/>
        </w:rPr>
        <w:t>keeping</w:t>
      </w:r>
      <w:r>
        <w:rPr>
          <w:spacing w:val="-3"/>
          <w:w w:val="105"/>
        </w:rPr>
        <w:t> </w:t>
      </w:r>
      <w:r>
        <w:rPr>
          <w:w w:val="105"/>
        </w:rPr>
        <w:t>condition</w:t>
      </w:r>
      <w:r>
        <w:rPr>
          <w:spacing w:val="-3"/>
          <w:w w:val="105"/>
        </w:rPr>
        <w:t> </w:t>
      </w:r>
      <w:r>
        <w:rPr>
          <w:w w:val="105"/>
        </w:rPr>
        <w:t>clearance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pace</w:t>
      </w:r>
      <w:r>
        <w:rPr>
          <w:spacing w:val="-3"/>
          <w:w w:val="105"/>
        </w:rPr>
        <w:t> </w:t>
      </w:r>
      <w:r>
        <w:rPr>
          <w:w w:val="105"/>
        </w:rPr>
        <w:t>for TRID disclosure windows.</w:t>
      </w:r>
    </w:p>
    <w:p>
      <w:pPr>
        <w:pStyle w:val="BodyText"/>
        <w:spacing w:before="194"/>
        <w:ind w:left="139"/>
      </w:pPr>
      <w:r>
        <w:rPr>
          <w:w w:val="105"/>
        </w:rPr>
        <w:t>Senior</w:t>
      </w:r>
      <w:r>
        <w:rPr>
          <w:spacing w:val="-13"/>
          <w:w w:val="105"/>
        </w:rPr>
        <w:t> </w:t>
      </w:r>
      <w:r>
        <w:rPr>
          <w:w w:val="105"/>
        </w:rPr>
        <w:t>Loan</w:t>
      </w:r>
      <w:r>
        <w:rPr>
          <w:spacing w:val="-12"/>
          <w:w w:val="105"/>
        </w:rPr>
        <w:t> </w:t>
      </w:r>
      <w:r>
        <w:rPr>
          <w:w w:val="105"/>
        </w:rPr>
        <w:t>Processor</w:t>
      </w:r>
      <w:r>
        <w:rPr>
          <w:spacing w:val="-12"/>
          <w:w w:val="105"/>
        </w:rPr>
        <w:t> </w:t>
      </w:r>
      <w:r>
        <w:rPr>
          <w:w w:val="105"/>
        </w:rPr>
        <w:t>|</w:t>
      </w:r>
      <w:r>
        <w:rPr>
          <w:spacing w:val="-12"/>
          <w:w w:val="105"/>
        </w:rPr>
        <w:t> </w:t>
      </w:r>
      <w:r>
        <w:rPr>
          <w:w w:val="105"/>
        </w:rPr>
        <w:t>2016</w:t>
      </w:r>
      <w:r>
        <w:rPr>
          <w:spacing w:val="-12"/>
          <w:w w:val="105"/>
        </w:rPr>
        <w:t> </w:t>
      </w:r>
      <w:r>
        <w:rPr>
          <w:w w:val="105"/>
        </w:rPr>
        <w:t>-</w:t>
      </w:r>
      <w:r>
        <w:rPr>
          <w:spacing w:val="-12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18"/>
        <w:ind w:left="139"/>
      </w:pPr>
      <w:r>
        <w:rPr/>
        <w:t>Tallahala</w:t>
      </w:r>
      <w:r>
        <w:rPr>
          <w:spacing w:val="9"/>
        </w:rPr>
        <w:t> </w:t>
      </w:r>
      <w:r>
        <w:rPr/>
        <w:t>Creek</w:t>
      </w:r>
      <w:r>
        <w:rPr>
          <w:spacing w:val="10"/>
        </w:rPr>
        <w:t> </w:t>
      </w:r>
      <w:r>
        <w:rPr/>
        <w:t>Financial</w:t>
      </w:r>
      <w:r>
        <w:rPr>
          <w:spacing w:val="10"/>
        </w:rPr>
        <w:t> </w:t>
      </w:r>
      <w:r>
        <w:rPr/>
        <w:t>LLC,</w:t>
      </w:r>
      <w:r>
        <w:rPr>
          <w:spacing w:val="10"/>
        </w:rPr>
        <w:t> </w:t>
      </w:r>
      <w:r>
        <w:rPr/>
        <w:t>Hattiesburg,</w:t>
      </w:r>
      <w:r>
        <w:rPr>
          <w:spacing w:val="10"/>
        </w:rPr>
        <w:t> </w:t>
      </w:r>
      <w:r>
        <w:rPr>
          <w:spacing w:val="-5"/>
        </w:rPr>
        <w:t>MS</w:t>
      </w:r>
    </w:p>
    <w:p>
      <w:pPr>
        <w:pStyle w:val="BodyText"/>
        <w:spacing w:before="80"/>
      </w:pPr>
    </w:p>
    <w:p>
      <w:pPr>
        <w:pStyle w:val="BodyText"/>
        <w:tabs>
          <w:tab w:pos="715" w:val="left" w:leader="none"/>
        </w:tabs>
        <w:spacing w:line="261" w:lineRule="auto" w:before="1"/>
        <w:ind w:left="715" w:right="498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Improved team productivity by 5.9% after creating a 29-step condition clearance</w:t>
      </w:r>
      <w:r>
        <w:rPr>
          <w:spacing w:val="-14"/>
          <w:w w:val="105"/>
        </w:rPr>
        <w:t> </w:t>
      </w:r>
      <w:r>
        <w:rPr>
          <w:w w:val="105"/>
        </w:rPr>
        <w:t>checklist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leading</w:t>
      </w:r>
      <w:r>
        <w:rPr>
          <w:spacing w:val="-13"/>
          <w:w w:val="105"/>
        </w:rPr>
        <w:t> </w:t>
      </w:r>
      <w:r>
        <w:rPr>
          <w:w w:val="105"/>
        </w:rPr>
        <w:t>weekly</w:t>
      </w:r>
      <w:r>
        <w:rPr>
          <w:spacing w:val="-13"/>
          <w:w w:val="105"/>
        </w:rPr>
        <w:t> </w:t>
      </w:r>
      <w:r>
        <w:rPr>
          <w:w w:val="105"/>
        </w:rPr>
        <w:t>pipeline</w:t>
      </w:r>
      <w:r>
        <w:rPr>
          <w:spacing w:val="-13"/>
          <w:w w:val="105"/>
        </w:rPr>
        <w:t> </w:t>
      </w:r>
      <w:r>
        <w:rPr>
          <w:w w:val="105"/>
        </w:rPr>
        <w:t>review</w:t>
      </w:r>
      <w:r>
        <w:rPr>
          <w:spacing w:val="-13"/>
          <w:w w:val="105"/>
        </w:rPr>
        <w:t> </w:t>
      </w:r>
      <w:r>
        <w:rPr>
          <w:w w:val="105"/>
        </w:rPr>
        <w:t>meetings</w:t>
      </w:r>
      <w:r>
        <w:rPr>
          <w:spacing w:val="-14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5-person processing group.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37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Earned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quarterly</w:t>
      </w:r>
      <w:r>
        <w:rPr>
          <w:spacing w:val="-13"/>
          <w:w w:val="105"/>
        </w:rPr>
        <w:t> </w:t>
      </w:r>
      <w:r>
        <w:rPr>
          <w:w w:val="105"/>
        </w:rPr>
        <w:t>customer</w:t>
      </w:r>
      <w:r>
        <w:rPr>
          <w:spacing w:val="-13"/>
          <w:w w:val="105"/>
        </w:rPr>
        <w:t> </w:t>
      </w:r>
      <w:r>
        <w:rPr>
          <w:w w:val="105"/>
        </w:rPr>
        <w:t>satisfaction</w:t>
      </w:r>
      <w:r>
        <w:rPr>
          <w:spacing w:val="-13"/>
          <w:w w:val="105"/>
        </w:rPr>
        <w:t> </w:t>
      </w:r>
      <w:r>
        <w:rPr>
          <w:w w:val="105"/>
        </w:rPr>
        <w:t>score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89.8</w:t>
      </w:r>
      <w:r>
        <w:rPr>
          <w:spacing w:val="-14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contacting</w:t>
      </w:r>
      <w:r>
        <w:rPr>
          <w:spacing w:val="-13"/>
          <w:w w:val="105"/>
        </w:rPr>
        <w:t> </w:t>
      </w:r>
      <w:r>
        <w:rPr>
          <w:w w:val="105"/>
        </w:rPr>
        <w:t>each borrower within 4 hours of receiving new conditions and providing clear next-step instructions.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42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Submitted</w:t>
      </w:r>
      <w:r>
        <w:rPr>
          <w:spacing w:val="-14"/>
          <w:w w:val="105"/>
        </w:rPr>
        <w:t> </w:t>
      </w:r>
      <w:r>
        <w:rPr>
          <w:w w:val="105"/>
        </w:rPr>
        <w:t>ﬁles</w:t>
      </w:r>
      <w:r>
        <w:rPr>
          <w:spacing w:val="-13"/>
          <w:w w:val="105"/>
        </w:rPr>
        <w:t> </w:t>
      </w:r>
      <w:r>
        <w:rPr>
          <w:w w:val="105"/>
        </w:rPr>
        <w:t>through</w:t>
      </w:r>
      <w:r>
        <w:rPr>
          <w:spacing w:val="-13"/>
          <w:w w:val="105"/>
        </w:rPr>
        <w:t> </w:t>
      </w:r>
      <w:r>
        <w:rPr>
          <w:w w:val="105"/>
        </w:rPr>
        <w:t>DU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LP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automated</w:t>
      </w:r>
      <w:r>
        <w:rPr>
          <w:spacing w:val="-14"/>
          <w:w w:val="105"/>
        </w:rPr>
        <w:t> </w:t>
      </w:r>
      <w:r>
        <w:rPr>
          <w:w w:val="105"/>
        </w:rPr>
        <w:t>underwriting</w:t>
      </w:r>
      <w:r>
        <w:rPr>
          <w:spacing w:val="-13"/>
          <w:w w:val="105"/>
        </w:rPr>
        <w:t> </w:t>
      </w:r>
      <w:r>
        <w:rPr>
          <w:w w:val="105"/>
        </w:rPr>
        <w:t>decisions, clearing an average of 11 conditions per ﬁle within 3 business days.</w:t>
      </w:r>
    </w:p>
    <w:p>
      <w:pPr>
        <w:pStyle w:val="BodyText"/>
        <w:tabs>
          <w:tab w:pos="715" w:val="left" w:leader="none"/>
        </w:tabs>
        <w:spacing w:line="261" w:lineRule="auto" w:before="89"/>
        <w:ind w:left="715" w:right="77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Veriﬁed</w:t>
      </w:r>
      <w:r>
        <w:rPr>
          <w:spacing w:val="-2"/>
          <w:w w:val="105"/>
        </w:rPr>
        <w:t> </w:t>
      </w:r>
      <w:r>
        <w:rPr>
          <w:w w:val="105"/>
        </w:rPr>
        <w:t>TRID disclosure timelines and HMDA</w:t>
      </w:r>
      <w:r>
        <w:rPr>
          <w:spacing w:val="-10"/>
          <w:w w:val="105"/>
        </w:rPr>
        <w:t> </w:t>
      </w:r>
      <w:r>
        <w:rPr>
          <w:w w:val="105"/>
        </w:rPr>
        <w:t>ﬁelds on every loan package,</w:t>
      </w:r>
      <w:r>
        <w:rPr>
          <w:spacing w:val="-14"/>
          <w:w w:val="105"/>
        </w:rPr>
        <w:t> </w:t>
      </w:r>
      <w:r>
        <w:rPr>
          <w:w w:val="105"/>
        </w:rPr>
        <w:t>preventing</w:t>
      </w:r>
      <w:r>
        <w:rPr>
          <w:spacing w:val="-13"/>
          <w:w w:val="105"/>
        </w:rPr>
        <w:t> </w:t>
      </w:r>
      <w:r>
        <w:rPr>
          <w:w w:val="105"/>
        </w:rPr>
        <w:t>late-fee</w:t>
      </w:r>
      <w:r>
        <w:rPr>
          <w:spacing w:val="-13"/>
          <w:w w:val="105"/>
        </w:rPr>
        <w:t> </w:t>
      </w:r>
      <w:r>
        <w:rPr>
          <w:w w:val="105"/>
        </w:rPr>
        <w:t>exposure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148</w:t>
      </w:r>
      <w:r>
        <w:rPr>
          <w:spacing w:val="-13"/>
          <w:w w:val="105"/>
        </w:rPr>
        <w:t> </w:t>
      </w:r>
      <w:r>
        <w:rPr>
          <w:w w:val="105"/>
        </w:rPr>
        <w:t>closings</w:t>
      </w:r>
      <w:r>
        <w:rPr>
          <w:spacing w:val="-13"/>
          <w:w w:val="105"/>
        </w:rPr>
        <w:t> </w:t>
      </w:r>
      <w:r>
        <w:rPr>
          <w:w w:val="105"/>
        </w:rPr>
        <w:t>over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2-year </w:t>
      </w:r>
      <w:r>
        <w:rPr>
          <w:spacing w:val="-2"/>
          <w:w w:val="105"/>
        </w:rPr>
        <w:t>span.</w:t>
      </w:r>
    </w:p>
    <w:p>
      <w:pPr>
        <w:pStyle w:val="BodyText"/>
        <w:spacing w:before="1"/>
      </w:pPr>
    </w:p>
    <w:p>
      <w:pPr>
        <w:pStyle w:val="BodyText"/>
        <w:ind w:left="139"/>
      </w:pPr>
      <w:r>
        <w:rPr>
          <w:w w:val="105"/>
        </w:rPr>
        <w:t>Loan</w:t>
      </w:r>
      <w:r>
        <w:rPr>
          <w:spacing w:val="-12"/>
          <w:w w:val="105"/>
        </w:rPr>
        <w:t> </w:t>
      </w:r>
      <w:r>
        <w:rPr>
          <w:w w:val="105"/>
        </w:rPr>
        <w:t>Processor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2014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2016</w:t>
      </w:r>
    </w:p>
    <w:p>
      <w:pPr>
        <w:pStyle w:val="BodyText"/>
        <w:spacing w:before="18"/>
        <w:ind w:left="139"/>
      </w:pPr>
      <w:r>
        <w:rPr>
          <w:spacing w:val="-2"/>
          <w:w w:val="105"/>
        </w:rPr>
        <w:t>Pine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Belt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Lending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Group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Inc.,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Laurel,</w:t>
      </w:r>
      <w:r>
        <w:rPr>
          <w:spacing w:val="-5"/>
          <w:w w:val="105"/>
        </w:rPr>
        <w:t> MS</w:t>
      </w:r>
    </w:p>
    <w:p>
      <w:pPr>
        <w:pStyle w:val="BodyText"/>
        <w:spacing w:before="66"/>
      </w:pPr>
    </w:p>
    <w:p>
      <w:pPr>
        <w:pStyle w:val="BodyText"/>
        <w:tabs>
          <w:tab w:pos="715" w:val="left" w:leader="none"/>
        </w:tabs>
        <w:spacing w:line="261" w:lineRule="auto"/>
        <w:ind w:left="715" w:right="539" w:hanging="298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Collected</w:t>
      </w:r>
      <w:r>
        <w:rPr>
          <w:spacing w:val="-14"/>
          <w:w w:val="105"/>
        </w:rPr>
        <w:t> </w:t>
      </w:r>
      <w:r>
        <w:rPr>
          <w:w w:val="105"/>
        </w:rPr>
        <w:t>income,</w:t>
      </w:r>
      <w:r>
        <w:rPr>
          <w:spacing w:val="-13"/>
          <w:w w:val="105"/>
        </w:rPr>
        <w:t> </w:t>
      </w:r>
      <w:r>
        <w:rPr>
          <w:w w:val="105"/>
        </w:rPr>
        <w:t>asset,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employment</w:t>
      </w:r>
      <w:r>
        <w:rPr>
          <w:spacing w:val="-13"/>
          <w:w w:val="105"/>
        </w:rPr>
        <w:t> </w:t>
      </w:r>
      <w:r>
        <w:rPr>
          <w:w w:val="105"/>
        </w:rPr>
        <w:t>veriﬁcations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conventional and</w:t>
      </w:r>
      <w:r>
        <w:rPr>
          <w:spacing w:val="-14"/>
          <w:w w:val="105"/>
        </w:rPr>
        <w:t> </w:t>
      </w:r>
      <w:r>
        <w:rPr>
          <w:w w:val="105"/>
        </w:rPr>
        <w:t>FHA</w:t>
      </w:r>
      <w:r>
        <w:rPr>
          <w:spacing w:val="-13"/>
          <w:w w:val="105"/>
        </w:rPr>
        <w:t> </w:t>
      </w:r>
      <w:r>
        <w:rPr>
          <w:w w:val="105"/>
        </w:rPr>
        <w:t>applications,</w:t>
      </w:r>
      <w:r>
        <w:rPr>
          <w:spacing w:val="-13"/>
          <w:w w:val="105"/>
        </w:rPr>
        <w:t> </w:t>
      </w:r>
      <w:r>
        <w:rPr>
          <w:w w:val="105"/>
        </w:rPr>
        <w:t>entering</w:t>
      </w:r>
      <w:r>
        <w:rPr>
          <w:spacing w:val="-13"/>
          <w:w w:val="105"/>
        </w:rPr>
        <w:t> </w:t>
      </w:r>
      <w:r>
        <w:rPr>
          <w:w w:val="105"/>
        </w:rPr>
        <w:t>borrower</w:t>
      </w:r>
      <w:r>
        <w:rPr>
          <w:spacing w:val="-13"/>
          <w:w w:val="105"/>
        </w:rPr>
        <w:t> </w:t>
      </w:r>
      <w:r>
        <w:rPr>
          <w:w w:val="105"/>
        </w:rPr>
        <w:t>data</w:t>
      </w:r>
      <w:r>
        <w:rPr>
          <w:spacing w:val="-13"/>
          <w:w w:val="105"/>
        </w:rPr>
        <w:t> </w:t>
      </w:r>
      <w:r>
        <w:rPr>
          <w:w w:val="105"/>
        </w:rPr>
        <w:t>into</w:t>
      </w:r>
      <w:r>
        <w:rPr>
          <w:spacing w:val="-13"/>
          <w:w w:val="105"/>
        </w:rPr>
        <w:t> </w:t>
      </w:r>
      <w:r>
        <w:rPr>
          <w:w w:val="105"/>
        </w:rPr>
        <w:t>Encompass</w:t>
      </w:r>
      <w:r>
        <w:rPr>
          <w:spacing w:val="-14"/>
          <w:w w:val="105"/>
        </w:rPr>
        <w:t> </w:t>
      </w:r>
      <w:r>
        <w:rPr>
          <w:w w:val="105"/>
        </w:rPr>
        <w:t>within</w:t>
      </w:r>
      <w:r>
        <w:rPr>
          <w:spacing w:val="-13"/>
          <w:w w:val="105"/>
        </w:rPr>
        <w:t> </w:t>
      </w:r>
      <w:r>
        <w:rPr>
          <w:w w:val="105"/>
        </w:rPr>
        <w:t>24 hours of receipt.</w:t>
      </w:r>
    </w:p>
    <w:p>
      <w:pPr>
        <w:pStyle w:val="BodyText"/>
        <w:tabs>
          <w:tab w:pos="715" w:val="left" w:leader="none"/>
        </w:tabs>
        <w:spacing w:line="261" w:lineRule="auto" w:before="88"/>
        <w:ind w:left="715" w:right="436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Maintained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customer</w:t>
      </w:r>
      <w:r>
        <w:rPr>
          <w:spacing w:val="-7"/>
          <w:w w:val="105"/>
        </w:rPr>
        <w:t> </w:t>
      </w:r>
      <w:r>
        <w:rPr>
          <w:w w:val="105"/>
        </w:rPr>
        <w:t>satisfaction</w:t>
      </w:r>
      <w:r>
        <w:rPr>
          <w:spacing w:val="-7"/>
          <w:w w:val="105"/>
        </w:rPr>
        <w:t> </w:t>
      </w:r>
      <w:r>
        <w:rPr>
          <w:w w:val="105"/>
        </w:rPr>
        <w:t>score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87.4</w:t>
      </w:r>
      <w:r>
        <w:rPr>
          <w:spacing w:val="-7"/>
          <w:w w:val="105"/>
        </w:rPr>
        <w:t> </w:t>
      </w:r>
      <w:r>
        <w:rPr>
          <w:w w:val="105"/>
        </w:rPr>
        <w:t>by</w:t>
      </w:r>
      <w:r>
        <w:rPr>
          <w:spacing w:val="-7"/>
          <w:w w:val="105"/>
        </w:rPr>
        <w:t> </w:t>
      </w:r>
      <w:r>
        <w:rPr>
          <w:w w:val="105"/>
        </w:rPr>
        <w:t>answering</w:t>
      </w:r>
      <w:r>
        <w:rPr>
          <w:spacing w:val="-7"/>
          <w:w w:val="105"/>
        </w:rPr>
        <w:t> </w:t>
      </w:r>
      <w:r>
        <w:rPr>
          <w:w w:val="105"/>
        </w:rPr>
        <w:t>borrower </w:t>
      </w:r>
      <w:r>
        <w:rPr>
          <w:spacing w:val="-2"/>
          <w:w w:val="105"/>
        </w:rPr>
        <w:t>questions on document requirements and providing weekly written status updates.</w:t>
      </w:r>
    </w:p>
    <w:p>
      <w:pPr>
        <w:pStyle w:val="BodyText"/>
        <w:tabs>
          <w:tab w:pos="715" w:val="left" w:leader="none"/>
        </w:tabs>
        <w:spacing w:line="261" w:lineRule="auto" w:before="103"/>
        <w:ind w:left="715" w:right="48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Compiled and reviewed preliminary title commitments, appraisal reports,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insurance</w:t>
      </w:r>
      <w:r>
        <w:rPr>
          <w:spacing w:val="-7"/>
          <w:w w:val="105"/>
        </w:rPr>
        <w:t> </w:t>
      </w:r>
      <w:r>
        <w:rPr>
          <w:w w:val="105"/>
        </w:rPr>
        <w:t>binders</w:t>
      </w:r>
      <w:r>
        <w:rPr>
          <w:spacing w:val="-7"/>
          <w:w w:val="105"/>
        </w:rPr>
        <w:t> </w:t>
      </w:r>
      <w:r>
        <w:rPr>
          <w:w w:val="105"/>
        </w:rPr>
        <w:t>for</w:t>
      </w:r>
      <w:r>
        <w:rPr>
          <w:spacing w:val="-7"/>
          <w:w w:val="105"/>
        </w:rPr>
        <w:t> </w:t>
      </w:r>
      <w:r>
        <w:rPr>
          <w:w w:val="105"/>
        </w:rPr>
        <w:t>38</w:t>
      </w:r>
      <w:r>
        <w:rPr>
          <w:spacing w:val="-7"/>
          <w:w w:val="105"/>
        </w:rPr>
        <w:t> </w:t>
      </w:r>
      <w:r>
        <w:rPr>
          <w:w w:val="105"/>
        </w:rPr>
        <w:t>active</w:t>
      </w:r>
      <w:r>
        <w:rPr>
          <w:spacing w:val="-7"/>
          <w:w w:val="105"/>
        </w:rPr>
        <w:t> </w:t>
      </w:r>
      <w:r>
        <w:rPr>
          <w:w w:val="105"/>
        </w:rPr>
        <w:t>ﬁles,</w:t>
      </w:r>
      <w:r>
        <w:rPr>
          <w:spacing w:val="-7"/>
          <w:w w:val="105"/>
        </w:rPr>
        <w:t> </w:t>
      </w:r>
      <w:r>
        <w:rPr>
          <w:w w:val="105"/>
        </w:rPr>
        <w:t>escalating</w:t>
      </w:r>
      <w:r>
        <w:rPr>
          <w:spacing w:val="-7"/>
          <w:w w:val="105"/>
        </w:rPr>
        <w:t> </w:t>
      </w:r>
      <w:r>
        <w:rPr>
          <w:w w:val="105"/>
        </w:rPr>
        <w:t>incomplete</w:t>
      </w:r>
      <w:r>
        <w:rPr>
          <w:spacing w:val="-7"/>
          <w:w w:val="105"/>
        </w:rPr>
        <w:t> </w:t>
      </w:r>
      <w:r>
        <w:rPr>
          <w:w w:val="105"/>
        </w:rPr>
        <w:t>items</w:t>
      </w:r>
      <w:r>
        <w:rPr>
          <w:spacing w:val="-7"/>
          <w:w w:val="105"/>
        </w:rPr>
        <w:t> </w:t>
      </w:r>
      <w:r>
        <w:rPr>
          <w:w w:val="105"/>
        </w:rPr>
        <w:t>to the senior processor within 4 hours.</w:t>
      </w:r>
    </w:p>
    <w:sectPr>
      <w:type w:val="continuous"/>
      <w:pgSz w:w="11920" w:h="16860"/>
      <w:pgMar w:top="0" w:bottom="0" w:left="141" w:right="0"/>
      <w:cols w:num="2" w:equalWidth="0">
        <w:col w:w="3753" w:space="878"/>
        <w:col w:w="714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39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2"/>
      <w:ind w:left="7122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clara.quintero@example.com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2026-10-08T13:31:07Z</dcterms:created>
  <dcterms:modified xsi:type="dcterms:W3CDTF">2026-10-08T13:31:07Z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