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424242"/>
          <w:spacing w:val="11"/>
          <w:sz w:val="74"/>
        </w:rPr>
        <w:t>Jonah</w:t>
      </w:r>
      <w:r>
        <w:rPr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Batista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Staff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Accountant</w:t>
      </w:r>
    </w:p>
    <w:p>
      <w:pPr>
        <w:spacing w:line="273" w:lineRule="auto" w:before="172"/>
        <w:ind w:left="4114" w:right="147" w:firstLine="0"/>
        <w:jc w:val="center"/>
        <w:rPr>
          <w:sz w:val="16"/>
        </w:rPr>
      </w:pPr>
      <w:r>
        <w:rPr>
          <w:w w:val="105"/>
          <w:sz w:val="16"/>
        </w:rPr>
        <w:t>Detail-focused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accountant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recording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journal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entries,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preparing financial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reports,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verifying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invoice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accuracy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Excel.</w:t>
      </w:r>
    </w:p>
    <w:p>
      <w:pPr>
        <w:spacing w:line="273" w:lineRule="auto" w:before="0"/>
        <w:ind w:left="4114" w:right="147" w:firstLine="0"/>
        <w:jc w:val="center"/>
        <w:rPr>
          <w:sz w:val="16"/>
        </w:rPr>
      </w:pPr>
      <w:r>
        <w:rPr>
          <w:w w:val="105"/>
          <w:sz w:val="16"/>
        </w:rPr>
        <w:t>Maintained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accuracy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above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99.41%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recognition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 prepaid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amortization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schedules.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Prepared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financial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$5.9M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 annual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revenue,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variance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analyses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cash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flow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summaries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department </w:t>
      </w:r>
      <w:r>
        <w:rPr>
          <w:spacing w:val="-2"/>
          <w:w w:val="105"/>
          <w:sz w:val="16"/>
        </w:rPr>
        <w:t>heads.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1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6"/>
        <w:ind w:left="815"/>
      </w:pPr>
      <w:r>
        <w:rPr>
          <w:color w:val="FFFFFF"/>
        </w:rPr>
        <w:t>(814)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51"/>
        <w:ind w:left="0"/>
      </w:pPr>
    </w:p>
    <w:p>
      <w:pPr>
        <w:pStyle w:val="BodyText"/>
        <w:spacing w:line="278" w:lineRule="auto"/>
        <w:ind w:left="815" w:right="57"/>
      </w:pPr>
      <w:hyperlink r:id="rId5">
        <w:r>
          <w:rPr>
            <w:color w:val="FFFFFF"/>
            <w:spacing w:val="-2"/>
          </w:rPr>
          <w:t>jonah.batista@example.co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7"/>
        <w:ind w:left="0"/>
      </w:pPr>
    </w:p>
    <w:p>
      <w:pPr>
        <w:pStyle w:val="BodyText"/>
        <w:spacing w:before="1"/>
        <w:ind w:left="815"/>
      </w:pPr>
      <w:r>
        <w:rPr>
          <w:color w:val="FFFFFF"/>
        </w:rPr>
        <w:t>Meadville,</w:t>
      </w:r>
      <w:r>
        <w:rPr>
          <w:color w:val="FFFFFF"/>
          <w:spacing w:val="5"/>
        </w:rPr>
        <w:t> </w:t>
      </w:r>
      <w:r>
        <w:rPr>
          <w:color w:val="FFFFFF"/>
        </w:rPr>
        <w:t>PA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  <w:ind w:left="0"/>
      </w:pPr>
    </w:p>
    <w:p>
      <w:pPr>
        <w:pStyle w:val="BodyText"/>
        <w:spacing w:before="117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1"/>
        <w:ind w:left="647" w:right="1598"/>
      </w:pPr>
      <w:r>
        <w:rPr>
          <w:color w:val="FFFFFF"/>
          <w:spacing w:val="-4"/>
        </w:rPr>
        <w:t>GAAP </w:t>
      </w:r>
      <w:r>
        <w:rPr>
          <w:color w:val="FFFFFF"/>
          <w:spacing w:val="-4"/>
          <w:w w:val="105"/>
        </w:rPr>
        <w:t>SAP</w:t>
      </w:r>
    </w:p>
    <w:p>
      <w:pPr>
        <w:pStyle w:val="BodyText"/>
        <w:spacing w:before="1"/>
        <w:ind w:left="647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Excel</w:t>
      </w:r>
    </w:p>
    <w:p>
      <w:pPr>
        <w:pStyle w:val="BodyText"/>
        <w:spacing w:line="364" w:lineRule="auto" w:before="123"/>
        <w:ind w:left="647"/>
      </w:pPr>
      <w:r>
        <w:rPr>
          <w:color w:val="FFFFFF"/>
          <w:spacing w:val="-2"/>
          <w:w w:val="105"/>
        </w:rPr>
        <w:t>General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Ledger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Accrual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Accounting</w:t>
      </w:r>
    </w:p>
    <w:p>
      <w:pPr>
        <w:pStyle w:val="BodyText"/>
        <w:spacing w:line="379" w:lineRule="auto" w:before="16"/>
        <w:ind w:left="647" w:right="351"/>
      </w:pPr>
      <w:r>
        <w:rPr>
          <w:color w:val="FFFFFF"/>
          <w:w w:val="105"/>
        </w:rPr>
        <w:t>Variance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 </w:t>
      </w:r>
      <w:r>
        <w:rPr>
          <w:color w:val="FFFFFF"/>
          <w:spacing w:val="-2"/>
          <w:w w:val="105"/>
        </w:rPr>
        <w:t>Journal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Entry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Posting </w:t>
      </w:r>
      <w:r>
        <w:rPr>
          <w:color w:val="FFFFFF"/>
          <w:w w:val="105"/>
        </w:rPr>
        <w:t>Financial Reporting Invoice Veriﬁcation Account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6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Staff</w:t>
      </w:r>
      <w:r>
        <w:rPr>
          <w:spacing w:val="5"/>
          <w:w w:val="105"/>
        </w:rPr>
        <w:t> </w:t>
      </w:r>
      <w:r>
        <w:rPr>
          <w:w w:val="105"/>
        </w:rPr>
        <w:t>Accountant,</w:t>
      </w:r>
      <w:r>
        <w:rPr>
          <w:spacing w:val="12"/>
          <w:w w:val="105"/>
        </w:rPr>
        <w:t> </w:t>
      </w:r>
      <w:r>
        <w:rPr>
          <w:w w:val="105"/>
        </w:rPr>
        <w:t>Oil</w:t>
      </w:r>
      <w:r>
        <w:rPr>
          <w:spacing w:val="13"/>
          <w:w w:val="105"/>
        </w:rPr>
        <w:t> </w:t>
      </w:r>
      <w:r>
        <w:rPr>
          <w:w w:val="105"/>
        </w:rPr>
        <w:t>Creek</w:t>
      </w:r>
      <w:r>
        <w:rPr>
          <w:spacing w:val="12"/>
          <w:w w:val="105"/>
        </w:rPr>
        <w:t> </w:t>
      </w:r>
      <w:r>
        <w:rPr>
          <w:w w:val="105"/>
        </w:rPr>
        <w:t>Financial</w:t>
      </w:r>
      <w:r>
        <w:rPr>
          <w:spacing w:val="12"/>
          <w:w w:val="105"/>
        </w:rPr>
        <w:t> </w:t>
      </w:r>
      <w:r>
        <w:rPr>
          <w:w w:val="105"/>
        </w:rPr>
        <w:t>Services,</w:t>
      </w:r>
      <w:r>
        <w:rPr>
          <w:spacing w:val="13"/>
          <w:w w:val="105"/>
        </w:rPr>
        <w:t> </w:t>
      </w:r>
      <w:r>
        <w:rPr>
          <w:w w:val="105"/>
        </w:rPr>
        <w:t>Meadville,</w:t>
      </w:r>
      <w:r>
        <w:rPr>
          <w:spacing w:val="13"/>
          <w:w w:val="105"/>
        </w:rPr>
        <w:t> </w:t>
      </w:r>
      <w:r>
        <w:rPr>
          <w:spacing w:val="-7"/>
          <w:w w:val="105"/>
        </w:rPr>
        <w:t>PA</w:t>
      </w:r>
    </w:p>
    <w:p>
      <w:pPr>
        <w:pStyle w:val="BodyText"/>
        <w:tabs>
          <w:tab w:pos="926" w:val="left" w:leader="none"/>
        </w:tabs>
        <w:spacing w:line="268" w:lineRule="auto" w:before="153"/>
        <w:ind w:right="40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Recorded an average of 114 journal entries per month across 4 subsidiary ledgers, posting accruals, deferrals, and reclassifications within 2 days of</w:t>
      </w:r>
      <w:r>
        <w:rPr>
          <w:spacing w:val="40"/>
          <w:w w:val="105"/>
        </w:rPr>
        <w:t> </w:t>
      </w:r>
      <w:r>
        <w:rPr>
          <w:w w:val="105"/>
        </w:rPr>
        <w:t>period end.</w:t>
      </w:r>
    </w:p>
    <w:p>
      <w:pPr>
        <w:pStyle w:val="BodyText"/>
        <w:tabs>
          <w:tab w:pos="926" w:val="left" w:leader="none"/>
        </w:tabs>
        <w:spacing w:line="268" w:lineRule="auto" w:before="99"/>
        <w:ind w:right="40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Prepared 8 financial reports each quarter for department heads, including</w:t>
      </w:r>
      <w:r>
        <w:rPr>
          <w:spacing w:val="40"/>
          <w:w w:val="105"/>
        </w:rPr>
        <w:t> </w:t>
      </w:r>
      <w:r>
        <w:rPr>
          <w:w w:val="105"/>
        </w:rPr>
        <w:t>variance analyses and cash flow summaries covering $5.9M in annual </w:t>
      </w:r>
      <w:r>
        <w:rPr>
          <w:spacing w:val="-2"/>
          <w:w w:val="105"/>
        </w:rPr>
        <w:t>revenue.</w:t>
      </w:r>
    </w:p>
    <w:p>
      <w:pPr>
        <w:pStyle w:val="BodyText"/>
        <w:tabs>
          <w:tab w:pos="926" w:val="left" w:leader="none"/>
        </w:tabs>
        <w:spacing w:line="278" w:lineRule="auto" w:before="100"/>
        <w:ind w:right="40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Caught 11 invoice coding errors in a single quarter by auditing expense</w:t>
      </w:r>
      <w:r>
        <w:rPr>
          <w:spacing w:val="40"/>
          <w:w w:val="105"/>
        </w:rPr>
        <w:t> </w:t>
      </w:r>
      <w:r>
        <w:rPr>
          <w:w w:val="105"/>
        </w:rPr>
        <w:t>classifications</w:t>
      </w:r>
      <w:r>
        <w:rPr>
          <w:spacing w:val="20"/>
          <w:w w:val="105"/>
        </w:rPr>
        <w:t> </w:t>
      </w:r>
      <w:r>
        <w:rPr>
          <w:w w:val="105"/>
        </w:rPr>
        <w:t>against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chart</w:t>
      </w:r>
      <w:r>
        <w:rPr>
          <w:spacing w:val="20"/>
          <w:w w:val="105"/>
        </w:rPr>
        <w:t> </w:t>
      </w:r>
      <w:r>
        <w:rPr>
          <w:w w:val="105"/>
        </w:rPr>
        <w:t>of</w:t>
      </w:r>
      <w:r>
        <w:rPr>
          <w:spacing w:val="20"/>
          <w:w w:val="105"/>
        </w:rPr>
        <w:t> </w:t>
      </w:r>
      <w:r>
        <w:rPr>
          <w:w w:val="105"/>
        </w:rPr>
        <w:t>accounts</w:t>
      </w:r>
      <w:r>
        <w:rPr>
          <w:spacing w:val="20"/>
          <w:w w:val="105"/>
        </w:rPr>
        <w:t> </w:t>
      </w:r>
      <w:r>
        <w:rPr>
          <w:w w:val="105"/>
        </w:rPr>
        <w:t>before</w:t>
      </w:r>
      <w:r>
        <w:rPr>
          <w:spacing w:val="20"/>
          <w:w w:val="105"/>
        </w:rPr>
        <w:t> </w:t>
      </w:r>
      <w:r>
        <w:rPr>
          <w:w w:val="105"/>
        </w:rPr>
        <w:t>batch</w:t>
      </w:r>
      <w:r>
        <w:rPr>
          <w:spacing w:val="20"/>
          <w:w w:val="105"/>
        </w:rPr>
        <w:t> </w:t>
      </w:r>
      <w:r>
        <w:rPr>
          <w:w w:val="105"/>
        </w:rPr>
        <w:t>posting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20"/>
          <w:w w:val="105"/>
        </w:rPr>
        <w:t> </w:t>
      </w:r>
      <w:r>
        <w:rPr>
          <w:w w:val="105"/>
        </w:rPr>
        <w:t>SAP.</w:t>
      </w:r>
    </w:p>
    <w:p>
      <w:pPr>
        <w:pStyle w:val="BodyText"/>
        <w:tabs>
          <w:tab w:pos="926" w:val="left" w:leader="none"/>
        </w:tabs>
        <w:spacing w:line="278" w:lineRule="auto" w:before="75"/>
        <w:ind w:right="661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Mentored 2 interns on GAAP journal entry standards and walked them through the month-end posting schedule.</w:t>
      </w:r>
    </w:p>
    <w:p>
      <w:pPr>
        <w:pStyle w:val="BodyText"/>
        <w:spacing w:before="119"/>
        <w:ind w:left="164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2"/>
      </w:pPr>
      <w:r>
        <w:rPr>
          <w:w w:val="105"/>
        </w:rPr>
        <w:t>Junior</w:t>
      </w:r>
      <w:r>
        <w:rPr>
          <w:spacing w:val="5"/>
          <w:w w:val="105"/>
        </w:rPr>
        <w:t> </w:t>
      </w:r>
      <w:r>
        <w:rPr>
          <w:w w:val="105"/>
        </w:rPr>
        <w:t>Accountant,</w:t>
      </w:r>
      <w:r>
        <w:rPr>
          <w:spacing w:val="13"/>
          <w:w w:val="105"/>
        </w:rPr>
        <w:t> </w:t>
      </w:r>
      <w:r>
        <w:rPr>
          <w:w w:val="105"/>
        </w:rPr>
        <w:t>Conneaut</w:t>
      </w:r>
      <w:r>
        <w:rPr>
          <w:spacing w:val="13"/>
          <w:w w:val="105"/>
        </w:rPr>
        <w:t> </w:t>
      </w:r>
      <w:r>
        <w:rPr>
          <w:w w:val="105"/>
        </w:rPr>
        <w:t>Valley</w:t>
      </w:r>
      <w:r>
        <w:rPr>
          <w:spacing w:val="12"/>
          <w:w w:val="105"/>
        </w:rPr>
        <w:t> </w:t>
      </w:r>
      <w:r>
        <w:rPr>
          <w:w w:val="105"/>
        </w:rPr>
        <w:t>Distributors,</w:t>
      </w:r>
      <w:r>
        <w:rPr>
          <w:spacing w:val="14"/>
          <w:w w:val="105"/>
        </w:rPr>
        <w:t> </w:t>
      </w:r>
      <w:r>
        <w:rPr>
          <w:w w:val="105"/>
        </w:rPr>
        <w:t>Linesville,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PA</w:t>
      </w:r>
    </w:p>
    <w:p>
      <w:pPr>
        <w:pStyle w:val="BodyText"/>
        <w:tabs>
          <w:tab w:pos="926" w:val="left" w:leader="none"/>
        </w:tabs>
        <w:spacing w:line="278" w:lineRule="auto" w:before="153"/>
        <w:ind w:right="40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Recorded 87 journal entries per month for revenue recognition and prepaid</w:t>
      </w:r>
      <w:r>
        <w:rPr>
          <w:spacing w:val="40"/>
          <w:w w:val="105"/>
        </w:rPr>
        <w:t> </w:t>
      </w:r>
      <w:r>
        <w:rPr>
          <w:w w:val="105"/>
        </w:rPr>
        <w:t>amortization</w:t>
      </w:r>
      <w:r>
        <w:rPr>
          <w:spacing w:val="40"/>
          <w:w w:val="105"/>
        </w:rPr>
        <w:t> </w:t>
      </w:r>
      <w:r>
        <w:rPr>
          <w:w w:val="105"/>
        </w:rPr>
        <w:t>schedules,</w:t>
      </w:r>
      <w:r>
        <w:rPr>
          <w:spacing w:val="40"/>
          <w:w w:val="105"/>
        </w:rPr>
        <w:t> </w:t>
      </w:r>
      <w:r>
        <w:rPr>
          <w:w w:val="105"/>
        </w:rPr>
        <w:t>maintaining</w:t>
      </w:r>
      <w:r>
        <w:rPr>
          <w:spacing w:val="40"/>
          <w:w w:val="105"/>
        </w:rPr>
        <w:t> </w:t>
      </w:r>
      <w:r>
        <w:rPr>
          <w:w w:val="105"/>
        </w:rPr>
        <w:t>posting</w:t>
      </w:r>
      <w:r>
        <w:rPr>
          <w:spacing w:val="40"/>
          <w:w w:val="105"/>
        </w:rPr>
        <w:t> </w:t>
      </w:r>
      <w:r>
        <w:rPr>
          <w:w w:val="105"/>
        </w:rPr>
        <w:t>accuracy</w:t>
      </w:r>
      <w:r>
        <w:rPr>
          <w:spacing w:val="40"/>
          <w:w w:val="105"/>
        </w:rPr>
        <w:t> </w:t>
      </w:r>
      <w:r>
        <w:rPr>
          <w:w w:val="105"/>
        </w:rPr>
        <w:t>above</w:t>
      </w:r>
      <w:r>
        <w:rPr>
          <w:spacing w:val="40"/>
          <w:w w:val="105"/>
        </w:rPr>
        <w:t> </w:t>
      </w:r>
      <w:r>
        <w:rPr>
          <w:w w:val="105"/>
        </w:rPr>
        <w:t>99.41%.</w:t>
      </w:r>
    </w:p>
    <w:p>
      <w:pPr>
        <w:pStyle w:val="BodyText"/>
        <w:tabs>
          <w:tab w:pos="926" w:val="left" w:leader="none"/>
        </w:tabs>
        <w:spacing w:line="278" w:lineRule="auto" w:before="75"/>
        <w:ind w:right="912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Prepared 6 financial reports monthly for the controller, summarizing departmental</w:t>
      </w:r>
      <w:r>
        <w:rPr>
          <w:spacing w:val="40"/>
          <w:w w:val="105"/>
        </w:rPr>
        <w:t> </w:t>
      </w:r>
      <w:r>
        <w:rPr>
          <w:w w:val="105"/>
        </w:rPr>
        <w:t>spending</w:t>
      </w:r>
      <w:r>
        <w:rPr>
          <w:spacing w:val="40"/>
          <w:w w:val="105"/>
        </w:rPr>
        <w:t> </w:t>
      </w:r>
      <w:r>
        <w:rPr>
          <w:w w:val="105"/>
        </w:rPr>
        <w:t>against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$2.05M</w:t>
      </w:r>
      <w:r>
        <w:rPr>
          <w:spacing w:val="40"/>
          <w:w w:val="105"/>
        </w:rPr>
        <w:t> </w:t>
      </w:r>
      <w:r>
        <w:rPr>
          <w:w w:val="105"/>
        </w:rPr>
        <w:t>operating</w:t>
      </w:r>
      <w:r>
        <w:rPr>
          <w:spacing w:val="40"/>
          <w:w w:val="105"/>
        </w:rPr>
        <w:t> </w:t>
      </w:r>
      <w:r>
        <w:rPr>
          <w:w w:val="105"/>
        </w:rPr>
        <w:t>budget.</w:t>
      </w:r>
    </w:p>
    <w:p>
      <w:pPr>
        <w:pStyle w:val="BodyText"/>
        <w:tabs>
          <w:tab w:pos="926" w:val="left" w:leader="none"/>
        </w:tabs>
        <w:spacing w:line="261" w:lineRule="auto" w:before="90"/>
        <w:ind w:right="400" w:hanging="292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Caught 7 invoice coding errors per month by comparing vendor invoices to</w:t>
      </w:r>
      <w:r>
        <w:rPr>
          <w:spacing w:val="40"/>
          <w:w w:val="105"/>
        </w:rPr>
        <w:t> </w:t>
      </w:r>
      <w:r>
        <w:rPr>
          <w:w w:val="105"/>
        </w:rPr>
        <w:t>approved purchase orders in Microsoft Excel before entry into SAP.</w:t>
      </w:r>
    </w:p>
    <w:p>
      <w:pPr>
        <w:pStyle w:val="BodyText"/>
        <w:spacing w:before="134"/>
        <w:ind w:left="164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Heading2"/>
      </w:pPr>
      <w:r>
        <w:rPr>
          <w:w w:val="105"/>
        </w:rPr>
        <w:t>Accounting</w:t>
      </w:r>
      <w:r>
        <w:rPr>
          <w:spacing w:val="13"/>
          <w:w w:val="105"/>
        </w:rPr>
        <w:t> </w:t>
      </w:r>
      <w:r>
        <w:rPr>
          <w:w w:val="105"/>
        </w:rPr>
        <w:t>Clerk,</w:t>
      </w:r>
      <w:r>
        <w:rPr>
          <w:spacing w:val="14"/>
          <w:w w:val="105"/>
        </w:rPr>
        <w:t> </w:t>
      </w:r>
      <w:r>
        <w:rPr>
          <w:w w:val="105"/>
        </w:rPr>
        <w:t>Pymatuning</w:t>
      </w:r>
      <w:r>
        <w:rPr>
          <w:spacing w:val="13"/>
          <w:w w:val="105"/>
        </w:rPr>
        <w:t> </w:t>
      </w:r>
      <w:r>
        <w:rPr>
          <w:w w:val="105"/>
        </w:rPr>
        <w:t>Creek</w:t>
      </w:r>
      <w:r>
        <w:rPr>
          <w:spacing w:val="13"/>
          <w:w w:val="105"/>
        </w:rPr>
        <w:t> </w:t>
      </w:r>
      <w:r>
        <w:rPr>
          <w:w w:val="105"/>
        </w:rPr>
        <w:t>Manufacturing,</w:t>
      </w:r>
      <w:r>
        <w:rPr>
          <w:spacing w:val="14"/>
          <w:w w:val="105"/>
        </w:rPr>
        <w:t> </w:t>
      </w:r>
      <w:r>
        <w:rPr>
          <w:w w:val="105"/>
        </w:rPr>
        <w:t>Greenville,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PA</w:t>
      </w:r>
    </w:p>
    <w:p>
      <w:pPr>
        <w:pStyle w:val="BodyText"/>
        <w:tabs>
          <w:tab w:pos="926" w:val="left" w:leader="none"/>
        </w:tabs>
        <w:spacing w:line="278" w:lineRule="auto" w:before="153"/>
        <w:ind w:right="108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Recorded 43 journal entries per month for accounts payable and fixed-asset</w:t>
      </w:r>
      <w:r>
        <w:rPr>
          <w:spacing w:val="40"/>
          <w:w w:val="105"/>
        </w:rPr>
        <w:t> </w:t>
      </w:r>
      <w:r>
        <w:rPr>
          <w:w w:val="105"/>
        </w:rPr>
        <w:t>additions, reducing backlog from 6 days to 3 days.</w:t>
      </w:r>
    </w:p>
    <w:p>
      <w:pPr>
        <w:pStyle w:val="BodyText"/>
        <w:tabs>
          <w:tab w:pos="926" w:val="left" w:leader="none"/>
        </w:tabs>
        <w:spacing w:line="278" w:lineRule="auto" w:before="75"/>
        <w:ind w:right="40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Prepared 4 financial reports each month summarizing open payables and aging balances for the accounting manager.</w:t>
      </w:r>
    </w:p>
    <w:p>
      <w:pPr>
        <w:pStyle w:val="BodyText"/>
        <w:tabs>
          <w:tab w:pos="926" w:val="left" w:leader="none"/>
        </w:tabs>
        <w:spacing w:line="261" w:lineRule="auto" w:before="89"/>
        <w:ind w:right="40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Caught 4 invoice coding errors weekly by reviewing account assignments</w:t>
      </w:r>
      <w:r>
        <w:rPr>
          <w:spacing w:val="40"/>
          <w:w w:val="105"/>
        </w:rPr>
        <w:t> </w:t>
      </w:r>
      <w:r>
        <w:rPr>
          <w:w w:val="105"/>
        </w:rPr>
        <w:t>against approved vendor contracts.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80" w:bottom="280" w:left="283" w:right="283"/>
          <w:cols w:num="2" w:equalWidth="0">
            <w:col w:w="3076" w:space="625"/>
            <w:col w:w="7653"/>
          </w:cols>
        </w:sectPr>
      </w:pPr>
    </w:p>
    <w:p>
      <w:pPr>
        <w:pStyle w:val="Heading1"/>
        <w:spacing w:before="213"/>
        <w:ind w:left="37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76187" y="2476512"/>
                            <a:ext cx="2286000" cy="822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2296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37"/>
                                </a:lnTo>
                                <a:lnTo>
                                  <a:pt x="0" y="5619737"/>
                                </a:lnTo>
                                <a:lnTo>
                                  <a:pt x="0" y="8229574"/>
                                </a:lnTo>
                                <a:lnTo>
                                  <a:pt x="2286000" y="8229574"/>
                                </a:lnTo>
                                <a:lnTo>
                                  <a:pt x="2286000" y="5619737"/>
                                </a:lnTo>
                                <a:lnTo>
                                  <a:pt x="2286000" y="133337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568565" cy="2477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77135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476500"/>
                                </a:lnTo>
                                <a:lnTo>
                                  <a:pt x="2476487" y="2476500"/>
                                </a:lnTo>
                                <a:lnTo>
                                  <a:pt x="7568171" y="2476512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6199" y="743035"/>
                            <a:ext cx="2286000" cy="842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420100">
                                <a:moveTo>
                                  <a:pt x="2285999" y="8420013"/>
                                </a:moveTo>
                                <a:lnTo>
                                  <a:pt x="0" y="842001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2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1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9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8420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04787" y="9001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6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0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3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8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0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3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0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6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9588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7909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1624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00037" y="500062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2400" id="docshapegroup1" coordorigin="0,0" coordsize="11919,16860">
                <v:shape style="position:absolute;left:119;top:3900;width:3600;height:12960" id="docshape2" coordorigin="120,3900" coordsize="3600,12960" path="m3720,3900l120,3900,120,4110,120,12750,120,16860,3720,16860,3720,12750,3720,4110,3720,3900xe" filled="true" fillcolor="#424242" stroked="false">
                  <v:path arrowok="t"/>
                  <v:fill type="solid"/>
                </v:shape>
                <v:shape style="position:absolute;left:0;top:0;width:11919;height:3901" id="docshape3" coordorigin="0,0" coordsize="11919,3901" path="m11918,0l3900,0,0,0,0,3900,3900,3900,11918,3900,11918,0xe" filled="true" fillcolor="#f2f2f2" stroked="false">
                  <v:path arrowok="t"/>
                  <v:fill type="solid"/>
                </v:shape>
                <v:shape style="position:absolute;left:120;top:1170;width:3600;height:13260" id="docshape4" coordorigin="120,1170" coordsize="3600,13260" path="m3720,14430l120,14430,120,2948,123,2860,131,2772,143,2684,159,2597,179,2511,204,2426,233,2343,266,2261,302,2180,343,2102,388,2026,436,1952,487,1880,543,1811,601,1745,663,1682,728,1622,795,1565,866,1511,938,1461,1014,1415,1091,1372,1170,1333,1252,1299,1334,1268,1419,1241,1504,1219,1591,1200,1678,1186,1766,1177,1854,1171,1898,1170,1942,1170,2030,1173,2118,1181,2206,1193,2293,1209,2379,1229,2464,1254,2547,1283,2629,1316,2710,1352,2788,1393,2864,1438,2938,1486,3010,1537,3079,1593,3145,1651,3208,1713,3268,1778,3325,1845,3379,1916,3429,1988,3475,2064,3518,2141,3557,2220,3591,2302,3622,2384,3649,2469,3671,2554,3690,2641,3704,2728,3713,2816,3719,2904,3720,14430xe" filled="true" fillcolor="#424242" stroked="false">
                  <v:path arrowok="t"/>
                  <v:fill type="solid"/>
                </v:shape>
                <v:shape style="position:absolute;left:322;top:1417;width:3195;height:3195" id="docshape5" coordorigin="322,1417" coordsize="3195,3195" path="m322,3017l322,3013,323,2994,326,2915,332,2837,343,2760,357,2683,375,2606,397,2531,422,2457,452,2384,484,2313,520,2244,560,2176,602,2110,648,2047,697,1986,749,1927,804,1871,861,1818,921,1767,983,1720,1048,1676,1115,1635,1183,1597,1254,1562,1326,1532,1399,1504,1474,1481,1549,1461,1626,1444,1703,1432,1781,1423,1859,1419,1918,1417,1922,1417,2000,1419,2078,1425,2156,1435,2233,1448,2310,1465,2385,1486,2459,1511,2532,1539,2604,1571,2674,1606,2742,1645,2808,1686,2872,1732,2934,1780,2993,1831,3050,1885,3104,1942,3155,2001,3203,2063,3249,2127,3290,2193,3329,2261,3364,2331,3396,2403,3424,2476,3449,2550,3470,2625,3487,2702,3500,2779,3510,2857,3516,2935,3517,3013,3517,3017,3516,3095,3510,3173,3500,3251,3487,3328,3470,3405,3449,3480,3424,3554,3396,3627,3364,3699,3329,3769,3290,3837,3249,3903,3203,3967,3155,4029,3104,4088,3050,4145,2993,4199,2934,4250,2872,4298,2808,4344,2742,4385,2674,4424,2604,4459,2532,4491,2459,4519,2385,4544,2310,4565,2233,4582,2156,4595,2078,4605,2000,4611,1922,4612,1918,4612,1840,4611,1762,4605,1684,4595,1607,4582,1530,4565,1455,4544,1381,4519,1308,4491,1236,4459,1166,4424,1098,4385,1032,4344,968,4298,906,4250,847,4199,790,4145,736,4088,685,4029,637,3967,591,3903,550,3837,511,3769,476,3699,444,3627,416,3554,391,3480,370,3405,353,3328,340,3251,330,3173,324,3095,322,3017xe" filled="false" stroked="true" strokeweight="2.25pt" strokecolor="#ffffff">
                  <v:path arrowok="t"/>
                  <v:stroke dashstyle="solid"/>
                </v:shape>
                <v:shape style="position:absolute;left:405;top:1510;width:3030;height:3020" type="#_x0000_t75" id="docshape6" stroked="false">
                  <v:imagedata r:id="rId9" o:title=""/>
                </v:shape>
                <v:shape style="position:absolute;left:630;top:5385;width:317;height:317" type="#_x0000_t75" id="docshape7" stroked="false">
                  <v:imagedata r:id="rId10" o:title=""/>
                </v:shape>
                <v:shape style="position:absolute;left:650;top:5970;width:275;height:317" type="#_x0000_t75" id="docshape8" stroked="false">
                  <v:imagedata r:id="rId11" o:title=""/>
                </v:shape>
                <v:shape style="position:absolute;left:631;top:6555;width:315;height:317" type="#_x0000_t75" id="docshape9" stroked="false">
                  <v:imagedata r:id="rId12" o:title=""/>
                </v:shape>
                <v:shape style="position:absolute;left:629;top:7875;width:75;height:3015" id="docshape10" coordorigin="630,7875" coordsize="75,3015" path="m705,10847l704,10842,700,10833,698,10829,691,10822,687,10820,678,10816,673,10815,662,10815,657,10816,648,10820,644,10822,637,10829,635,10833,631,10842,630,10847,630,10853,630,10858,631,10863,635,10872,637,10876,644,10883,648,10885,657,10889,662,10890,673,10890,678,10889,687,10885,691,10883,698,10876,700,10872,704,10863,705,10858,705,10847xm705,10517l704,10512,700,10503,698,10499,691,10492,687,10490,678,10486,673,10485,662,10485,657,10486,648,10490,644,10492,637,10499,635,10503,631,10512,630,10517,630,10523,630,10528,631,10533,635,10542,637,10546,644,10553,648,10555,657,10559,662,10560,673,10560,678,10559,687,10555,691,10553,698,10546,700,10542,704,10533,705,10528,705,10517xm705,10187l704,10182,700,10173,698,10169,691,10162,687,10160,678,10156,673,10155,662,10155,657,10156,648,10160,644,10162,637,10169,635,10173,631,10182,630,10187,630,10193,630,10198,631,10203,635,10212,637,10216,644,10223,648,10225,657,10229,662,10230,673,10230,678,10229,687,10225,691,10223,698,10216,700,10212,704,10203,705,10198,705,10187xm705,9872l704,9867,700,9858,698,9854,691,9847,687,9845,678,9841,673,9840,662,9840,657,9841,648,9845,644,9847,637,9854,635,9858,631,9867,630,9872,630,9878,630,9883,631,9888,635,9897,637,9901,644,9908,648,9910,657,9914,662,9915,673,9915,678,9914,687,9910,691,9908,698,9901,700,9897,704,9888,705,9883,705,9872xm705,9542l704,9537,700,9528,698,9524,691,9517,687,9515,678,9511,673,9510,662,9510,657,9511,648,9515,644,9517,637,9524,635,9528,631,9537,630,9542,630,9548,630,9553,631,9558,635,9567,637,9571,644,9578,648,9580,657,9584,662,9585,673,9585,678,9584,687,9580,691,9578,698,9571,700,9567,704,9558,705,9553,705,9542xm705,9212l704,9207,700,9198,698,9194,691,9187,687,9185,678,9181,673,9180,662,9180,657,9181,648,9185,644,9187,637,9194,635,9198,631,9207,630,9212,630,9218,630,9223,631,9228,635,9237,637,9241,644,9248,648,9250,657,9254,662,9255,673,9255,678,9254,687,9250,691,9248,698,9241,700,9237,704,9228,705,9223,705,9212xm705,8882l704,8877,700,8868,698,8864,691,8857,687,8855,678,8851,673,8850,662,8850,657,8851,648,8855,644,8857,637,8864,635,8868,631,8877,630,8882,630,8888,630,8893,631,8898,635,8907,637,8911,644,8918,648,8920,657,8924,662,8925,673,8925,678,8924,687,8920,691,8918,698,8911,700,8907,704,8898,705,8893,705,8882xm705,8567l704,8562,700,8553,698,8549,691,8542,687,8540,678,8536,673,8535,662,8535,657,8536,648,8540,644,8542,637,8549,635,8553,631,8562,630,8567,630,8573,630,8578,631,8583,635,8592,637,8596,644,8603,648,8605,657,8609,662,8610,673,8610,678,8609,687,8605,691,8603,698,8596,700,8592,704,8583,705,8578,705,8567xm705,8237l704,8232,700,8223,698,8219,691,8212,687,8210,678,8206,673,8205,662,8205,657,8206,648,8210,644,8212,637,8219,635,8223,631,8232,630,8237,630,8243,630,8248,631,8253,635,8262,637,8266,644,8273,648,8275,657,8279,662,8280,673,8280,678,8279,687,8275,691,8273,698,8266,700,8262,704,8253,705,8248,705,8237xm705,7907l704,7902,700,7893,698,7889,691,7882,687,7880,678,7876,673,7875,662,7875,657,7876,648,7880,644,7882,637,7889,635,7893,631,7902,630,7907,630,7913,630,7918,631,7923,635,7932,637,7936,644,7943,648,7945,657,7949,662,7950,673,7950,678,7949,687,7945,691,7943,698,7936,700,7932,704,7923,705,7918,70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Heading2"/>
        <w:spacing w:before="155"/>
        <w:ind w:left="3865"/>
      </w:pPr>
      <w:r>
        <w:rPr>
          <w:w w:val="105"/>
        </w:rPr>
        <w:t>BSBA, </w:t>
      </w:r>
      <w:r>
        <w:rPr>
          <w:spacing w:val="-2"/>
          <w:w w:val="105"/>
        </w:rPr>
        <w:t>Accounting</w:t>
      </w:r>
    </w:p>
    <w:p>
      <w:pPr>
        <w:pStyle w:val="BodyText"/>
        <w:spacing w:before="33"/>
        <w:ind w:left="3865"/>
      </w:pPr>
      <w:r>
        <w:rPr/>
        <w:t>Edinboro</w:t>
      </w:r>
      <w:r>
        <w:rPr>
          <w:spacing w:val="33"/>
        </w:rPr>
        <w:t> </w:t>
      </w:r>
      <w:r>
        <w:rPr/>
        <w:t>University</w:t>
      </w:r>
      <w:r>
        <w:rPr>
          <w:spacing w:val="34"/>
        </w:rPr>
        <w:t> </w:t>
      </w:r>
      <w:r>
        <w:rPr/>
        <w:t>of</w:t>
      </w:r>
      <w:r>
        <w:rPr>
          <w:spacing w:val="33"/>
        </w:rPr>
        <w:t> </w:t>
      </w:r>
      <w:r>
        <w:rPr/>
        <w:t>Pennsylvania,</w:t>
      </w:r>
      <w:r>
        <w:rPr>
          <w:spacing w:val="34"/>
        </w:rPr>
        <w:t> </w:t>
      </w:r>
      <w:r>
        <w:rPr/>
        <w:t>Edinboro,</w:t>
      </w:r>
      <w:r>
        <w:rPr>
          <w:spacing w:val="34"/>
        </w:rPr>
        <w:t> </w:t>
      </w:r>
      <w:r>
        <w:rPr/>
        <w:t>PA</w:t>
      </w:r>
      <w:r>
        <w:rPr>
          <w:spacing w:val="33"/>
        </w:rPr>
        <w:t> </w:t>
      </w:r>
      <w:r>
        <w:rPr/>
        <w:t>|</w:t>
      </w:r>
      <w:r>
        <w:rPr>
          <w:spacing w:val="34"/>
        </w:rPr>
        <w:t> </w:t>
      </w:r>
      <w:r>
        <w:rPr/>
        <w:t>2016</w:t>
      </w:r>
      <w:r>
        <w:rPr>
          <w:spacing w:val="34"/>
        </w:rPr>
        <w:t> </w:t>
      </w:r>
      <w:r>
        <w:rPr/>
        <w:t>-</w:t>
      </w:r>
      <w:r>
        <w:rPr>
          <w:spacing w:val="33"/>
        </w:rPr>
        <w:t> </w:t>
      </w:r>
      <w:r>
        <w:rPr>
          <w:spacing w:val="-4"/>
        </w:rPr>
        <w:t>2020</w:t>
      </w:r>
    </w:p>
    <w:sectPr>
      <w:type w:val="continuous"/>
      <w:pgSz w:w="11920" w:h="16860"/>
      <w:pgMar w:top="9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26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nah.batista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2026-10-08T11:03:12Z</dcterms:created>
  <dcterms:modified xsi:type="dcterms:W3CDTF">2026-10-08T11:03:12Z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