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68" w:right="15" w:firstLine="0"/>
        <w:jc w:val="center"/>
        <w:rPr>
          <w:sz w:val="74"/>
        </w:rPr>
      </w:pPr>
      <w:r>
        <w:rPr>
          <w:b/>
          <w:color w:val="FFFFFF"/>
          <w:spacing w:val="10"/>
          <w:sz w:val="74"/>
        </w:rPr>
        <w:t>Lars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4"/>
          <w:sz w:val="74"/>
        </w:rPr>
        <w:t>Das</w:t>
      </w:r>
    </w:p>
    <w:p>
      <w:pPr>
        <w:pStyle w:val="Heading1"/>
        <w:spacing w:before="207"/>
        <w:ind w:left="3968"/>
        <w:jc w:val="center"/>
      </w:pPr>
      <w:r>
        <w:rPr>
          <w:color w:val="FFFFFF"/>
        </w:rPr>
        <w:t>Collections</w:t>
      </w:r>
      <w:r>
        <w:rPr>
          <w:color w:val="FFFFFF"/>
          <w:spacing w:val="1"/>
        </w:rPr>
        <w:t> </w:t>
      </w:r>
      <w:r>
        <w:rPr>
          <w:color w:val="FFFFFF"/>
          <w:spacing w:val="-2"/>
        </w:rPr>
        <w:t>Representative</w:t>
      </w:r>
    </w:p>
    <w:p>
      <w:pPr>
        <w:spacing w:line="249" w:lineRule="auto" w:before="155"/>
        <w:ind w:left="4065" w:right="215" w:firstLine="0"/>
        <w:jc w:val="left"/>
        <w:rPr>
          <w:b/>
          <w:sz w:val="20"/>
        </w:rPr>
      </w:pPr>
      <w:r>
        <w:rPr>
          <w:b/>
          <w:color w:val="FFFFFF"/>
          <w:sz w:val="20"/>
        </w:rPr>
        <w:t>Collections professional with 2 years of experience recovering overdue consumer debt through phone negotiations, written correspondence, and systematic account prioritization. Achieves an overdue account recovery rate of 83.9% by persuading customers to remit payments across a monthly portfolio of 348 accounts, handling an average of 117 inbound calls daily while managing records in collections management software and LexisNexis.</w:t>
      </w:r>
    </w:p>
    <w:p>
      <w:pPr>
        <w:pStyle w:val="BodyText"/>
        <w:rPr>
          <w:b/>
        </w:rPr>
      </w:pPr>
    </w:p>
    <w:p>
      <w:pPr>
        <w:pStyle w:val="BodyText"/>
        <w:spacing w:before="136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20" w:h="16860"/>
          <w:pgMar w:top="880" w:bottom="280" w:left="566" w:right="141"/>
        </w:sectPr>
      </w:pPr>
    </w:p>
    <w:p>
      <w:pPr>
        <w:spacing w:before="149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Scottsboro,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AL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(256)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0118</w:t>
      </w:r>
    </w:p>
    <w:p>
      <w:pPr>
        <w:pStyle w:val="BodyText"/>
        <w:spacing w:before="201"/>
        <w:rPr>
          <w:sz w:val="18"/>
        </w:rPr>
      </w:pPr>
    </w:p>
    <w:p>
      <w:pPr>
        <w:spacing w:line="153" w:lineRule="exact" w:before="0"/>
        <w:ind w:left="921" w:right="0" w:firstLine="0"/>
        <w:jc w:val="left"/>
        <w:rPr>
          <w:sz w:val="18"/>
        </w:rPr>
      </w:pPr>
      <w:hyperlink r:id="rId5">
        <w:r>
          <w:rPr>
            <w:spacing w:val="-2"/>
            <w:w w:val="105"/>
            <w:sz w:val="18"/>
          </w:rPr>
          <w:t>lars.das@example.com</w:t>
        </w:r>
      </w:hyperlink>
    </w:p>
    <w:p>
      <w:pPr>
        <w:spacing w:before="70"/>
        <w:ind w:left="1144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A64D78"/>
          <w:spacing w:val="2"/>
          <w:sz w:val="20"/>
        </w:rPr>
        <w:t>PROFESSIONAL</w:t>
      </w:r>
      <w:r>
        <w:rPr>
          <w:b/>
          <w:color w:val="A64D78"/>
          <w:spacing w:val="46"/>
          <w:sz w:val="20"/>
        </w:rPr>
        <w:t> </w:t>
      </w:r>
      <w:r>
        <w:rPr>
          <w:b/>
          <w:color w:val="A64D78"/>
          <w:spacing w:val="-2"/>
          <w:sz w:val="20"/>
        </w:rPr>
        <w:t>EXPERIENCE</w:t>
      </w:r>
    </w:p>
    <w:p>
      <w:pPr>
        <w:pStyle w:val="BodyText"/>
        <w:spacing w:before="145"/>
        <w:rPr>
          <w:b/>
        </w:rPr>
      </w:pPr>
    </w:p>
    <w:p>
      <w:pPr>
        <w:spacing w:line="256" w:lineRule="auto" w:before="0"/>
        <w:ind w:left="921" w:right="81" w:firstLine="0"/>
        <w:jc w:val="left"/>
        <w:rPr>
          <w:sz w:val="20"/>
        </w:rPr>
      </w:pPr>
      <w:r>
        <w:rPr>
          <w:sz w:val="20"/>
        </w:rPr>
        <w:t>COLLECTIONS REPRESENTATIVE </w:t>
      </w:r>
      <w:r>
        <w:rPr>
          <w:position w:val="2"/>
          <w:sz w:val="20"/>
        </w:rPr>
        <w:t>| </w:t>
      </w:r>
      <w:r>
        <w:rPr>
          <w:sz w:val="20"/>
        </w:rPr>
        <w:t>LOOKOUT VALLEY CREDIT</w:t>
      </w:r>
      <w:r>
        <w:rPr>
          <w:spacing w:val="40"/>
          <w:sz w:val="20"/>
        </w:rPr>
        <w:t> </w:t>
      </w:r>
      <w:r>
        <w:rPr>
          <w:sz w:val="20"/>
        </w:rPr>
        <w:t>SERVICES, SCOTTSBORO, AL</w:t>
      </w:r>
    </w:p>
    <w:p>
      <w:pPr>
        <w:spacing w:before="8"/>
        <w:ind w:left="921" w:right="0" w:firstLine="0"/>
        <w:jc w:val="left"/>
        <w:rPr>
          <w:sz w:val="20"/>
        </w:rPr>
      </w:pPr>
      <w:r>
        <w:rPr>
          <w:sz w:val="20"/>
        </w:rPr>
        <w:t>2025</w:t>
      </w:r>
      <w:r>
        <w:rPr>
          <w:spacing w:val="12"/>
          <w:sz w:val="20"/>
        </w:rPr>
        <w:t> </w:t>
      </w:r>
      <w:r>
        <w:rPr>
          <w:sz w:val="20"/>
        </w:rPr>
        <w:t>–</w:t>
      </w:r>
      <w:r>
        <w:rPr>
          <w:spacing w:val="13"/>
          <w:sz w:val="20"/>
        </w:rPr>
        <w:t> </w:t>
      </w:r>
      <w:r>
        <w:rPr>
          <w:spacing w:val="-2"/>
          <w:sz w:val="20"/>
        </w:rPr>
        <w:t>PRESENT</w:t>
      </w:r>
    </w:p>
    <w:p>
      <w:pPr>
        <w:spacing w:after="0"/>
        <w:jc w:val="left"/>
        <w:rPr>
          <w:sz w:val="20"/>
        </w:rPr>
        <w:sectPr>
          <w:type w:val="continuous"/>
          <w:pgSz w:w="11920" w:h="16860"/>
          <w:pgMar w:top="880" w:bottom="280" w:left="566" w:right="141"/>
          <w:cols w:num="2" w:equalWidth="0">
            <w:col w:w="2968" w:space="175"/>
            <w:col w:w="8070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24"/>
        <w:rPr>
          <w:sz w:val="22"/>
        </w:rPr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207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FDCPA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201" w:lineRule="auto" w:before="18" w:after="0"/>
        <w:ind w:left="661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Collections Management </w:t>
      </w:r>
      <w:r>
        <w:rPr>
          <w:spacing w:val="-2"/>
          <w:w w:val="105"/>
          <w:sz w:val="18"/>
        </w:rPr>
        <w:t>Software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43" w:after="0"/>
        <w:ind w:left="659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LexisNexis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Skip</w:t>
      </w:r>
      <w:r>
        <w:rPr>
          <w:spacing w:val="7"/>
          <w:w w:val="105"/>
          <w:sz w:val="18"/>
        </w:rPr>
        <w:t> </w:t>
      </w:r>
      <w:r>
        <w:rPr>
          <w:spacing w:val="-2"/>
          <w:w w:val="105"/>
          <w:sz w:val="18"/>
        </w:rPr>
        <w:t>Tracing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Payment</w:t>
      </w:r>
      <w:r>
        <w:rPr>
          <w:spacing w:val="37"/>
          <w:sz w:val="18"/>
        </w:rPr>
        <w:t> </w:t>
      </w:r>
      <w:r>
        <w:rPr>
          <w:spacing w:val="-2"/>
          <w:sz w:val="18"/>
        </w:rPr>
        <w:t>Negotiation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Account</w:t>
      </w:r>
      <w:r>
        <w:rPr>
          <w:spacing w:val="31"/>
          <w:w w:val="105"/>
          <w:sz w:val="18"/>
        </w:rPr>
        <w:t> </w:t>
      </w:r>
      <w:r>
        <w:rPr>
          <w:spacing w:val="-2"/>
          <w:w w:val="105"/>
          <w:sz w:val="18"/>
        </w:rPr>
        <w:t>Prioritization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72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Inbound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Call</w:t>
      </w:r>
      <w:r>
        <w:rPr>
          <w:spacing w:val="20"/>
          <w:w w:val="105"/>
          <w:sz w:val="18"/>
        </w:rPr>
        <w:t> </w:t>
      </w:r>
      <w:r>
        <w:rPr>
          <w:spacing w:val="-2"/>
          <w:w w:val="105"/>
          <w:sz w:val="18"/>
        </w:rPr>
        <w:t>Handling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0" w:lineRule="auto" w:before="6" w:after="0"/>
        <w:ind w:left="400" w:right="220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Handle an average of 117 inbound calls daily from account holders responding to past-due notices, resolving payment questions and scheduling arrangements within a single contact.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0" w:lineRule="auto" w:before="56" w:after="0"/>
        <w:ind w:left="400" w:right="308" w:hanging="298"/>
        <w:jc w:val="left"/>
        <w:rPr>
          <w:position w:val="-2"/>
          <w:sz w:val="31"/>
        </w:rPr>
      </w:pPr>
      <w:r>
        <w:rPr>
          <w:w w:val="105"/>
          <w:sz w:val="20"/>
        </w:rPr>
        <w:t>Manage 348 overdue accounts each month in collections management software, prioritizing balances by age and amount to focus outreach on the highest-value cases.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0" w:lineRule="auto" w:before="56" w:after="0"/>
        <w:ind w:left="400" w:right="83" w:hanging="298"/>
        <w:jc w:val="left"/>
        <w:rPr>
          <w:position w:val="-2"/>
          <w:sz w:val="31"/>
        </w:rPr>
      </w:pPr>
      <w:r>
        <w:rPr>
          <w:w w:val="105"/>
          <w:sz w:val="20"/>
        </w:rPr>
        <w:t>Achieve an overdue account recovery rate of 83.9% by persuading customers to remit payments through phone negotiations and written </w:t>
      </w:r>
      <w:r>
        <w:rPr>
          <w:spacing w:val="-2"/>
          <w:w w:val="105"/>
          <w:sz w:val="20"/>
        </w:rPr>
        <w:t>correspondence.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0" w:lineRule="auto" w:before="57" w:after="0"/>
        <w:ind w:left="400" w:right="338" w:hanging="298"/>
        <w:jc w:val="left"/>
        <w:rPr>
          <w:position w:val="-2"/>
          <w:sz w:val="31"/>
        </w:rPr>
      </w:pPr>
      <w:r>
        <w:rPr>
          <w:w w:val="105"/>
          <w:sz w:val="20"/>
        </w:rPr>
        <w:t>Sort and file incoming debtor correspondence, process returned mail for 19 accounts per week, and update address records using </w:t>
      </w:r>
      <w:r>
        <w:rPr>
          <w:spacing w:val="-2"/>
          <w:w w:val="105"/>
          <w:sz w:val="20"/>
        </w:rPr>
        <w:t>LexisNexis.</w:t>
      </w:r>
    </w:p>
    <w:p>
      <w:pPr>
        <w:pStyle w:val="ListParagraph"/>
        <w:spacing w:after="0" w:line="230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141"/>
          <w:cols w:num="2" w:equalWidth="0">
            <w:col w:w="2846" w:space="1339"/>
            <w:col w:w="7028"/>
          </w:cols>
        </w:sectPr>
      </w:pP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240" w:lineRule="auto" w:before="37" w:after="0"/>
        <w:ind w:left="659" w:right="0" w:hanging="296"/>
        <w:jc w:val="left"/>
        <w:rPr>
          <w:sz w:val="18"/>
        </w:rPr>
      </w:pPr>
      <w:r>
        <w:rPr>
          <w:w w:val="105"/>
          <w:sz w:val="18"/>
        </w:rPr>
        <w:t>Correspondence</w:t>
      </w:r>
      <w:r>
        <w:rPr>
          <w:spacing w:val="45"/>
          <w:w w:val="105"/>
          <w:sz w:val="18"/>
        </w:rPr>
        <w:t> </w:t>
      </w:r>
      <w:r>
        <w:rPr>
          <w:spacing w:val="-2"/>
          <w:w w:val="105"/>
          <w:sz w:val="18"/>
        </w:rPr>
        <w:t>Drafting</w:t>
      </w:r>
    </w:p>
    <w:p>
      <w:pPr>
        <w:spacing w:line="225" w:lineRule="exact" w:before="0"/>
        <w:ind w:left="363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COLLECTIONS</w:t>
      </w:r>
      <w:r>
        <w:rPr>
          <w:spacing w:val="22"/>
          <w:sz w:val="20"/>
        </w:rPr>
        <w:t> </w:t>
      </w:r>
      <w:r>
        <w:rPr>
          <w:sz w:val="20"/>
        </w:rPr>
        <w:t>ASSOCIATE</w:t>
      </w:r>
      <w:r>
        <w:rPr>
          <w:spacing w:val="32"/>
          <w:sz w:val="20"/>
        </w:rPr>
        <w:t> </w:t>
      </w:r>
      <w:r>
        <w:rPr>
          <w:position w:val="2"/>
          <w:sz w:val="20"/>
        </w:rPr>
        <w:t>|</w:t>
      </w:r>
      <w:r>
        <w:rPr>
          <w:spacing w:val="31"/>
          <w:position w:val="2"/>
          <w:sz w:val="20"/>
        </w:rPr>
        <w:t> </w:t>
      </w:r>
      <w:r>
        <w:rPr>
          <w:sz w:val="20"/>
        </w:rPr>
        <w:t>PAINT</w:t>
      </w:r>
      <w:r>
        <w:rPr>
          <w:spacing w:val="33"/>
          <w:sz w:val="20"/>
        </w:rPr>
        <w:t> </w:t>
      </w:r>
      <w:r>
        <w:rPr>
          <w:sz w:val="20"/>
        </w:rPr>
        <w:t>ROCK</w:t>
      </w:r>
      <w:r>
        <w:rPr>
          <w:spacing w:val="39"/>
          <w:sz w:val="20"/>
        </w:rPr>
        <w:t> </w:t>
      </w:r>
      <w:r>
        <w:rPr>
          <w:sz w:val="20"/>
        </w:rPr>
        <w:t>CREDIT</w:t>
      </w:r>
      <w:r>
        <w:rPr>
          <w:spacing w:val="32"/>
          <w:sz w:val="20"/>
        </w:rPr>
        <w:t> </w:t>
      </w:r>
      <w:r>
        <w:rPr>
          <w:sz w:val="20"/>
        </w:rPr>
        <w:t>SOLUTIONS</w:t>
      </w:r>
      <w:r>
        <w:rPr>
          <w:spacing w:val="39"/>
          <w:sz w:val="20"/>
        </w:rPr>
        <w:t> </w:t>
      </w:r>
      <w:r>
        <w:rPr>
          <w:spacing w:val="-4"/>
          <w:sz w:val="20"/>
        </w:rPr>
        <w:t>LLC,</w:t>
      </w:r>
    </w:p>
    <w:p>
      <w:pPr>
        <w:spacing w:before="15"/>
        <w:ind w:left="363" w:right="0" w:firstLine="0"/>
        <w:jc w:val="left"/>
        <w:rPr>
          <w:sz w:val="20"/>
        </w:rPr>
      </w:pPr>
      <w:r>
        <w:rPr>
          <w:spacing w:val="2"/>
          <w:sz w:val="20"/>
        </w:rPr>
        <w:t>HUNTSVILLE,</w:t>
      </w:r>
      <w:r>
        <w:rPr>
          <w:spacing w:val="32"/>
          <w:sz w:val="20"/>
        </w:rPr>
        <w:t> </w:t>
      </w:r>
      <w:r>
        <w:rPr>
          <w:spacing w:val="-5"/>
          <w:sz w:val="20"/>
        </w:rPr>
        <w:t>AL</w:t>
      </w:r>
    </w:p>
    <w:p>
      <w:pPr>
        <w:pStyle w:val="BodyText"/>
        <w:spacing w:before="25"/>
        <w:ind w:left="363"/>
      </w:pPr>
      <w:r>
        <w:rPr/>
        <w:t>2024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141"/>
          <w:cols w:num="2" w:equalWidth="0">
            <w:col w:w="2898" w:space="804"/>
            <w:col w:w="7511"/>
          </w:cols>
        </w:sectPr>
      </w:pPr>
    </w:p>
    <w:p>
      <w:pPr>
        <w:pStyle w:val="ListParagraph"/>
        <w:numPr>
          <w:ilvl w:val="2"/>
          <w:numId w:val="1"/>
        </w:numPr>
        <w:tabs>
          <w:tab w:pos="4583" w:val="left" w:leader="none"/>
          <w:tab w:pos="4585" w:val="left" w:leader="none"/>
        </w:tabs>
        <w:spacing w:line="230" w:lineRule="auto" w:before="157" w:after="0"/>
        <w:ind w:left="4585" w:right="281" w:hanging="298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412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733674"/>
                            <a:ext cx="2714625" cy="797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7972425">
                                <a:moveTo>
                                  <a:pt x="2714612" y="7200900"/>
                                </a:moveTo>
                                <a:lnTo>
                                  <a:pt x="247637" y="7200900"/>
                                </a:lnTo>
                                <a:lnTo>
                                  <a:pt x="247637" y="7972412"/>
                                </a:lnTo>
                                <a:lnTo>
                                  <a:pt x="2714612" y="7972412"/>
                                </a:lnTo>
                                <a:lnTo>
                                  <a:pt x="2714612" y="7200900"/>
                                </a:lnTo>
                                <a:close/>
                              </a:path>
                              <a:path w="2714625" h="7972425">
                                <a:moveTo>
                                  <a:pt x="2714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714612" y="9525"/>
                                </a:lnTo>
                                <a:lnTo>
                                  <a:pt x="2714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273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733675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3675"/>
                                </a:lnTo>
                                <a:lnTo>
                                  <a:pt x="247637" y="2733675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733675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733675"/>
                                </a:lnTo>
                                <a:lnTo>
                                  <a:pt x="7568171" y="2733675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7637" y="0"/>
                            <a:ext cx="2466975" cy="9934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9934575">
                                <a:moveTo>
                                  <a:pt x="2466975" y="2743200"/>
                                </a:moveTo>
                                <a:lnTo>
                                  <a:pt x="0" y="2743200"/>
                                </a:lnTo>
                                <a:lnTo>
                                  <a:pt x="0" y="9934575"/>
                                </a:lnTo>
                                <a:lnTo>
                                  <a:pt x="2466975" y="9934575"/>
                                </a:lnTo>
                                <a:lnTo>
                                  <a:pt x="2466975" y="2743200"/>
                                </a:lnTo>
                                <a:close/>
                              </a:path>
                              <a:path w="2466975" h="9934575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3675"/>
                                </a:lnTo>
                                <a:lnTo>
                                  <a:pt x="2466975" y="2733675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0549" y="2959532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400425"/>
                            <a:ext cx="224280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790950"/>
                            <a:ext cx="205001" cy="228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0337" y="2905124"/>
                            <a:ext cx="4768215" cy="5981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5981700">
                                <a:moveTo>
                                  <a:pt x="4767834" y="5695950"/>
                                </a:moveTo>
                                <a:lnTo>
                                  <a:pt x="142875" y="5695950"/>
                                </a:lnTo>
                                <a:lnTo>
                                  <a:pt x="135864" y="5696128"/>
                                </a:lnTo>
                                <a:lnTo>
                                  <a:pt x="94754" y="5704306"/>
                                </a:lnTo>
                                <a:lnTo>
                                  <a:pt x="57759" y="5724080"/>
                                </a:lnTo>
                                <a:lnTo>
                                  <a:pt x="28130" y="5753709"/>
                                </a:lnTo>
                                <a:lnTo>
                                  <a:pt x="8356" y="5790704"/>
                                </a:lnTo>
                                <a:lnTo>
                                  <a:pt x="177" y="5831814"/>
                                </a:lnTo>
                                <a:lnTo>
                                  <a:pt x="0" y="5838825"/>
                                </a:lnTo>
                                <a:lnTo>
                                  <a:pt x="177" y="5845848"/>
                                </a:lnTo>
                                <a:lnTo>
                                  <a:pt x="8356" y="5886958"/>
                                </a:lnTo>
                                <a:lnTo>
                                  <a:pt x="28130" y="5923953"/>
                                </a:lnTo>
                                <a:lnTo>
                                  <a:pt x="57759" y="5953582"/>
                                </a:lnTo>
                                <a:lnTo>
                                  <a:pt x="94754" y="5973356"/>
                                </a:lnTo>
                                <a:lnTo>
                                  <a:pt x="135864" y="5981535"/>
                                </a:lnTo>
                                <a:lnTo>
                                  <a:pt x="142875" y="5981700"/>
                                </a:lnTo>
                                <a:lnTo>
                                  <a:pt x="4767834" y="5981700"/>
                                </a:lnTo>
                                <a:lnTo>
                                  <a:pt x="4767834" y="5695950"/>
                                </a:lnTo>
                                <a:close/>
                              </a:path>
                              <a:path w="4768215" h="5981700">
                                <a:moveTo>
                                  <a:pt x="4767834" y="0"/>
                                </a:moveTo>
                                <a:lnTo>
                                  <a:pt x="138112" y="0"/>
                                </a:lnTo>
                                <a:lnTo>
                                  <a:pt x="131330" y="177"/>
                                </a:lnTo>
                                <a:lnTo>
                                  <a:pt x="91592" y="8077"/>
                                </a:lnTo>
                                <a:lnTo>
                                  <a:pt x="55841" y="27190"/>
                                </a:lnTo>
                                <a:lnTo>
                                  <a:pt x="27190" y="55841"/>
                                </a:lnTo>
                                <a:lnTo>
                                  <a:pt x="8077" y="91592"/>
                                </a:lnTo>
                                <a:lnTo>
                                  <a:pt x="177" y="131330"/>
                                </a:lnTo>
                                <a:lnTo>
                                  <a:pt x="0" y="138112"/>
                                </a:lnTo>
                                <a:lnTo>
                                  <a:pt x="177" y="144907"/>
                                </a:lnTo>
                                <a:lnTo>
                                  <a:pt x="8077" y="184645"/>
                                </a:lnTo>
                                <a:lnTo>
                                  <a:pt x="27190" y="220395"/>
                                </a:lnTo>
                                <a:lnTo>
                                  <a:pt x="55841" y="249047"/>
                                </a:lnTo>
                                <a:lnTo>
                                  <a:pt x="91592" y="268160"/>
                                </a:lnTo>
                                <a:lnTo>
                                  <a:pt x="131330" y="276059"/>
                                </a:lnTo>
                                <a:lnTo>
                                  <a:pt x="138112" y="276225"/>
                                </a:lnTo>
                                <a:lnTo>
                                  <a:pt x="4767834" y="276225"/>
                                </a:lnTo>
                                <a:lnTo>
                                  <a:pt x="4767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42976"/>
                            <a:ext cx="2047874" cy="20477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5232" id="docshapegroup1" coordorigin="0,0" coordsize="11919,16860">
                <v:shape style="position:absolute;left:0;top:4305;width:4275;height:12555" id="docshape2" coordorigin="0,4305" coordsize="4275,12555" path="m4275,15645l390,15645,390,16860,4275,16860,4275,15645xm4275,4305l0,4305,0,4320,4275,4320,4275,4305xe" filled="true" fillcolor="#ebd0db" stroked="false">
                  <v:path arrowok="t"/>
                  <v:fill type="solid"/>
                </v:shape>
                <v:shape style="position:absolute;left:0;top:0;width:11919;height:4305" id="docshape3" coordorigin="0,0" coordsize="11919,4305" path="m390,0l0,0,0,4305,390,4305,390,0xm11918,0l4275,0,4275,4305,11918,4305,11918,0xe" filled="true" fillcolor="#a64d78" stroked="false">
                  <v:path arrowok="t"/>
                  <v:fill type="solid"/>
                </v:shape>
                <v:shape style="position:absolute;left:389;top:0;width:3885;height:15645" id="docshape4" coordorigin="390,0" coordsize="3885,15645" path="m4275,4320l390,4320,390,15645,4275,15645,4275,4320xm4275,0l390,0,390,4305,4275,4305,4275,0xe" filled="true" fillcolor="#ebd0db" stroked="false">
                  <v:path arrowok="t"/>
                  <v:fill type="solid"/>
                </v:shape>
                <v:shape style="position:absolute;left:930;top:4660;width:298;height:425" id="docshape5" coordorigin="930,4661" coordsize="298,425" path="m1079,5086l1055,5058,1004,4989,953,4900,930,4809,942,4751,974,4704,1021,4672,1079,4661,1137,4672,1184,4704,1216,4751,1217,4756,1079,4756,1068,4757,1058,4760,1049,4765,1041,4772,1035,4780,1030,4789,1027,4799,1026,4809,1027,4820,1030,4830,1035,4839,1041,4847,1049,4854,1058,4858,1068,4861,1079,4863,1214,4863,1204,4900,1153,4989,1102,5058,1079,5086xm1214,4863l1079,4863,1089,4861,1099,4858,1108,4854,1116,4847,1123,4839,1128,4830,1131,4820,1132,4809,1131,4799,1128,4789,1123,4780,1116,4772,1108,4765,1099,4760,1089,4757,1079,4756,1217,4756,1227,4809,1214,4863xe" filled="true" fillcolor="#a64d78" stroked="false">
                  <v:path arrowok="t"/>
                  <v:fill type="solid"/>
                </v:shape>
                <v:shape style="position:absolute;left:948;top:5355;width:354;height:345" type="#_x0000_t75" id="docshape6" stroked="false">
                  <v:imagedata r:id="rId6" o:title=""/>
                </v:shape>
                <v:shape style="position:absolute;left:963;top:5970;width:323;height:360" type="#_x0000_t75" id="docshape7" stroked="false">
                  <v:imagedata r:id="rId7" o:title=""/>
                </v:shape>
                <v:shape style="position:absolute;left:4409;top:4575;width:7509;height:9420" id="docshape8" coordorigin="4410,4575" coordsize="7509,9420" path="m11918,13545l4635,13545,4624,13545,4613,13546,4602,13547,4591,13549,4580,13552,4570,13555,4559,13558,4549,13562,4539,13567,4529,13572,4519,13577,4510,13583,4501,13589,4492,13596,4484,13603,4476,13611,4468,13619,4461,13627,4454,13636,4448,13645,4442,13654,4437,13664,4432,13674,4427,13684,4423,13694,4420,13705,4417,13715,4414,13726,4412,13737,4411,13748,4410,13759,4410,13770,4410,13781,4411,13792,4412,13803,4414,13814,4417,13825,4420,13835,4423,13846,4427,13856,4432,13866,4437,13876,4442,13886,4448,13895,4454,13904,4461,13913,4468,13921,4476,13929,4484,13937,4492,13944,4501,13951,4510,13957,4519,13963,4529,13968,4539,13973,4549,13978,4559,13982,4570,13985,4580,13988,4591,13991,4602,13993,4613,13994,4624,13995,4635,13995,11918,13995,11918,13545xm11918,4575l4627,4575,4617,4575,4606,4576,4596,4577,4585,4579,4575,4582,4564,4584,4554,4588,4544,4592,4534,4596,4525,4601,4516,4606,4507,4612,4498,4618,4490,4624,4481,4631,4474,4639,4466,4646,4459,4655,4453,4663,4447,4672,4441,4681,4436,4690,4431,4699,4427,4709,4423,4719,4419,4729,4417,4740,4414,4750,4412,4761,4411,4771,4410,4782,4410,4792,4410,4803,4411,4814,4412,4824,4414,4835,4417,4845,4419,4856,4423,4866,4427,4876,4431,4886,4436,4895,4441,4904,4447,4913,4453,4922,4459,4930,4466,4939,4474,4946,4481,4954,4490,4961,4498,4967,4507,4973,4516,4979,4525,4984,4534,4989,4544,4993,4554,4997,4564,5001,4575,5003,4585,5006,4596,5008,4606,5009,4617,5010,4627,5010,11918,5010,11918,4575xe" filled="true" fillcolor="#ebd0db" stroked="false">
                  <v:path arrowok="t"/>
                  <v:fill type="solid"/>
                </v:shape>
                <v:shape style="position:absolute;left:720;top:540;width:3225;height:3225" type="#_x0000_t75" id="docshape9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20"/>
        </w:rPr>
        <w:t>Contacted delinquent account holders by telephone and mail following established scripts, averaging 93 outbound calls per day across a portfolio of consumer credit accounts.</w:t>
      </w:r>
    </w:p>
    <w:p>
      <w:pPr>
        <w:pStyle w:val="ListParagraph"/>
        <w:numPr>
          <w:ilvl w:val="2"/>
          <w:numId w:val="1"/>
        </w:numPr>
        <w:tabs>
          <w:tab w:pos="4583" w:val="left" w:leader="none"/>
          <w:tab w:pos="4585" w:val="left" w:leader="none"/>
        </w:tabs>
        <w:spacing w:line="237" w:lineRule="auto" w:before="49" w:after="0"/>
        <w:ind w:left="4585" w:right="45" w:hanging="298"/>
        <w:jc w:val="left"/>
        <w:rPr>
          <w:sz w:val="20"/>
        </w:rPr>
      </w:pPr>
      <w:r>
        <w:rPr>
          <w:w w:val="105"/>
          <w:sz w:val="20"/>
        </w:rPr>
        <w:t>Managed 274 accounts monthly in Excel workbooks, logging each contact attempt, payment promise, and outcome within 15 minutes of the call.</w:t>
      </w:r>
    </w:p>
    <w:p>
      <w:pPr>
        <w:pStyle w:val="ListParagraph"/>
        <w:numPr>
          <w:ilvl w:val="2"/>
          <w:numId w:val="1"/>
        </w:numPr>
        <w:tabs>
          <w:tab w:pos="4583" w:val="left" w:leader="none"/>
          <w:tab w:pos="4585" w:val="left" w:leader="none"/>
        </w:tabs>
        <w:spacing w:line="237" w:lineRule="auto" w:before="32" w:after="0"/>
        <w:ind w:left="4585" w:right="53" w:hanging="298"/>
        <w:jc w:val="both"/>
        <w:rPr>
          <w:sz w:val="20"/>
        </w:rPr>
      </w:pPr>
      <w:r>
        <w:rPr>
          <w:w w:val="105"/>
          <w:sz w:val="20"/>
        </w:rPr>
        <w:t>Raised personal overdue account recovery rate from 72.4% to 82.5% over 8 months by refining follow-up timing based on debtor response </w:t>
      </w:r>
      <w:r>
        <w:rPr>
          <w:spacing w:val="-2"/>
          <w:w w:val="105"/>
          <w:sz w:val="20"/>
        </w:rPr>
        <w:t>patterns.</w:t>
      </w:r>
    </w:p>
    <w:p>
      <w:pPr>
        <w:pStyle w:val="BodyText"/>
        <w:spacing w:before="142"/>
      </w:pPr>
    </w:p>
    <w:p>
      <w:pPr>
        <w:spacing w:before="0"/>
        <w:ind w:left="4288" w:right="0" w:firstLine="0"/>
        <w:jc w:val="left"/>
        <w:rPr>
          <w:b/>
          <w:sz w:val="20"/>
        </w:rPr>
      </w:pPr>
      <w:r>
        <w:rPr>
          <w:b/>
          <w:color w:val="A64D78"/>
          <w:spacing w:val="-2"/>
          <w:sz w:val="20"/>
        </w:rPr>
        <w:t>EDUCATION</w:t>
      </w:r>
    </w:p>
    <w:p>
      <w:pPr>
        <w:pStyle w:val="BodyText"/>
        <w:spacing w:before="52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4361" w:val="left" w:leader="none"/>
        </w:tabs>
        <w:spacing w:line="345" w:lineRule="exact" w:before="0" w:after="0"/>
        <w:ind w:left="4361" w:right="0" w:hanging="296"/>
        <w:jc w:val="left"/>
        <w:rPr>
          <w:sz w:val="20"/>
        </w:rPr>
      </w:pPr>
      <w:r>
        <w:rPr>
          <w:sz w:val="20"/>
        </w:rPr>
        <w:t>BSBA</w:t>
      </w:r>
      <w:r>
        <w:rPr>
          <w:spacing w:val="16"/>
          <w:sz w:val="20"/>
        </w:rPr>
        <w:t> </w:t>
      </w:r>
      <w:r>
        <w:rPr>
          <w:sz w:val="20"/>
        </w:rPr>
        <w:t>in</w:t>
      </w:r>
      <w:r>
        <w:rPr>
          <w:spacing w:val="16"/>
          <w:sz w:val="20"/>
        </w:rPr>
        <w:t> </w:t>
      </w:r>
      <w:r>
        <w:rPr>
          <w:spacing w:val="-2"/>
          <w:sz w:val="20"/>
        </w:rPr>
        <w:t>Finance</w:t>
      </w:r>
    </w:p>
    <w:p>
      <w:pPr>
        <w:pStyle w:val="BodyText"/>
        <w:spacing w:line="238" w:lineRule="exact"/>
        <w:ind w:left="4362"/>
      </w:pPr>
      <w:r>
        <w:rPr/>
        <w:t>University</w:t>
      </w:r>
      <w:r>
        <w:rPr>
          <w:spacing w:val="31"/>
        </w:rPr>
        <w:t> </w:t>
      </w:r>
      <w:r>
        <w:rPr/>
        <w:t>of</w:t>
      </w:r>
      <w:r>
        <w:rPr>
          <w:spacing w:val="32"/>
        </w:rPr>
        <w:t> </w:t>
      </w:r>
      <w:r>
        <w:rPr/>
        <w:t>Alabama</w:t>
      </w:r>
      <w:r>
        <w:rPr>
          <w:spacing w:val="31"/>
        </w:rPr>
        <w:t> </w:t>
      </w:r>
      <w:r>
        <w:rPr/>
        <w:t>in</w:t>
      </w:r>
      <w:r>
        <w:rPr>
          <w:spacing w:val="32"/>
        </w:rPr>
        <w:t> </w:t>
      </w:r>
      <w:r>
        <w:rPr/>
        <w:t>Huntsville,</w:t>
      </w:r>
      <w:r>
        <w:rPr>
          <w:spacing w:val="31"/>
        </w:rPr>
        <w:t> </w:t>
      </w:r>
      <w:r>
        <w:rPr/>
        <w:t>Huntsville,</w:t>
      </w:r>
      <w:r>
        <w:rPr>
          <w:spacing w:val="32"/>
        </w:rPr>
        <w:t> </w:t>
      </w:r>
      <w:r>
        <w:rPr/>
        <w:t>AL</w:t>
      </w:r>
      <w:r>
        <w:rPr>
          <w:spacing w:val="25"/>
        </w:rPr>
        <w:t> </w:t>
      </w:r>
      <w:r>
        <w:rPr>
          <w:position w:val="2"/>
        </w:rPr>
        <w:t>|</w:t>
      </w:r>
      <w:r>
        <w:rPr>
          <w:spacing w:val="24"/>
          <w:position w:val="2"/>
        </w:rPr>
        <w:t> </w:t>
      </w:r>
      <w:r>
        <w:rPr/>
        <w:t>2020</w:t>
      </w:r>
      <w:r>
        <w:rPr>
          <w:spacing w:val="32"/>
        </w:rPr>
        <w:t> </w:t>
      </w:r>
      <w:r>
        <w:rPr/>
        <w:t>–</w:t>
      </w:r>
      <w:r>
        <w:rPr>
          <w:spacing w:val="31"/>
        </w:rPr>
        <w:t> </w:t>
      </w:r>
      <w:r>
        <w:rPr>
          <w:spacing w:val="-4"/>
        </w:rPr>
        <w:t>2024</w:t>
      </w:r>
    </w:p>
    <w:sectPr>
      <w:type w:val="continuous"/>
      <w:pgSz w:w="11920" w:h="16860"/>
      <w:pgMar w:top="880" w:bottom="280" w:left="566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36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045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3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1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0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8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47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5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41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8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9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0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0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1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2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30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59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ars.da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2026-10-11T00:56:48Z</dcterms:created>
  <dcterms:modified xsi:type="dcterms:W3CDTF">2026-10-11T00:56:48Z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