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Mei</w:t>
      </w:r>
      <w:r>
        <w:rPr>
          <w:color w:val="FFFFFF"/>
          <w:spacing w:val="31"/>
        </w:rPr>
        <w:t> </w:t>
      </w:r>
      <w:r>
        <w:rPr>
          <w:color w:val="FFFFFF"/>
          <w:spacing w:val="9"/>
        </w:rPr>
        <w:t>Landry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Vice</w:t>
      </w:r>
      <w:r>
        <w:rPr>
          <w:color w:val="FFFFFF"/>
          <w:spacing w:val="8"/>
          <w:sz w:val="26"/>
        </w:rPr>
        <w:t> </w:t>
      </w:r>
      <w:r>
        <w:rPr>
          <w:color w:val="FFFFFF"/>
          <w:spacing w:val="-2"/>
          <w:sz w:val="26"/>
        </w:rPr>
        <w:t>President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70" w:right="74" w:firstLine="36"/>
        <w:jc w:val="both"/>
        <w:rPr>
          <w:sz w:val="18"/>
        </w:rPr>
      </w:pPr>
      <w:r>
        <w:rPr>
          <w:w w:val="105"/>
          <w:sz w:val="18"/>
        </w:rPr>
        <w:t>Private equity professional with 11 years of experience spanning deal origination, due diligence management, and exit execution across industrials, healthcare, and business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services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sectors.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Led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sell-side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achieved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exit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value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of</w:t>
      </w:r>
    </w:p>
    <w:p>
      <w:pPr>
        <w:spacing w:line="295" w:lineRule="auto" w:before="1"/>
        <w:ind w:left="4096" w:right="0" w:firstLine="0"/>
        <w:jc w:val="center"/>
        <w:rPr>
          <w:sz w:val="18"/>
        </w:rPr>
      </w:pPr>
      <w:r>
        <w:rPr>
          <w:w w:val="105"/>
          <w:sz w:val="18"/>
        </w:rPr>
        <w:t>$193M for a specialty services portfolio company and managed 13 due diligence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workstreams for a $127M platform acquisition. Holds the Chartered Alternative Investment Analyst designation and brings deep proficiency in LBO Modeling,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Bloomberg, and Excel.</w:t>
      </w:r>
    </w:p>
    <w:p>
      <w:pPr>
        <w:pStyle w:val="BodyText"/>
        <w:spacing w:before="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70"/>
      </w:pPr>
      <w:r>
        <w:rPr>
          <w:color w:val="424242"/>
        </w:rPr>
        <w:t>CONTACT</w:t>
      </w:r>
      <w:r>
        <w:rPr>
          <w:color w:val="424242"/>
          <w:spacing w:val="31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2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27" w:right="0" w:firstLine="0"/>
        <w:jc w:val="left"/>
        <w:rPr>
          <w:b/>
          <w:sz w:val="20"/>
        </w:rPr>
      </w:pPr>
      <w:r>
        <w:rPr>
          <w:b/>
          <w:color w:val="424242"/>
          <w:spacing w:val="2"/>
          <w:sz w:val="20"/>
        </w:rPr>
        <w:t>PROFESSIONAL</w:t>
      </w:r>
      <w:r>
        <w:rPr>
          <w:b/>
          <w:color w:val="424242"/>
          <w:spacing w:val="46"/>
          <w:sz w:val="20"/>
        </w:rPr>
        <w:t> </w:t>
      </w:r>
      <w:r>
        <w:rPr>
          <w:b/>
          <w:color w:val="424242"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8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before="75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(406)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0132</w:t>
      </w:r>
    </w:p>
    <w:p>
      <w:pPr>
        <w:pStyle w:val="BodyText"/>
        <w:spacing w:before="20"/>
        <w:rPr>
          <w:sz w:val="18"/>
        </w:rPr>
      </w:pPr>
    </w:p>
    <w:p>
      <w:pPr>
        <w:spacing w:line="520" w:lineRule="auto" w:before="1"/>
        <w:ind w:left="647" w:right="61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mei.landry@example.com</w:t>
        </w:r>
      </w:hyperlink>
      <w:r>
        <w:rPr>
          <w:spacing w:val="-2"/>
          <w:sz w:val="18"/>
        </w:rPr>
        <w:t> </w:t>
      </w:r>
      <w:r>
        <w:rPr>
          <w:sz w:val="18"/>
        </w:rPr>
        <w:t>Havre, MT 12345</w:t>
      </w:r>
    </w:p>
    <w:p>
      <w:pPr>
        <w:pStyle w:val="Heading2"/>
        <w:spacing w:before="178"/>
      </w:pPr>
      <w:r>
        <w:rPr>
          <w:color w:val="424242"/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ind w:left="127"/>
      </w:pPr>
      <w:r>
        <w:rPr>
          <w:spacing w:val="-5"/>
          <w:w w:val="105"/>
        </w:rPr>
        <w:t>MBA</w:t>
      </w:r>
    </w:p>
    <w:p>
      <w:pPr>
        <w:pStyle w:val="BodyText"/>
        <w:spacing w:line="292" w:lineRule="auto" w:before="56"/>
        <w:ind w:left="127" w:right="61"/>
      </w:pPr>
      <w:r>
        <w:rPr>
          <w:w w:val="105"/>
        </w:rPr>
        <w:t>University of Montana, Missoula, MT 2013 – 2015</w:t>
      </w:r>
    </w:p>
    <w:p>
      <w:pPr>
        <w:pStyle w:val="BodyText"/>
        <w:spacing w:before="181"/>
        <w:ind w:left="127"/>
      </w:pPr>
      <w:r>
        <w:rPr>
          <w:w w:val="105"/>
        </w:rPr>
        <w:t>BS</w:t>
      </w:r>
      <w:r>
        <w:rPr>
          <w:spacing w:val="-2"/>
          <w:w w:val="105"/>
        </w:rPr>
        <w:t> Economics</w:t>
      </w:r>
    </w:p>
    <w:p>
      <w:pPr>
        <w:pStyle w:val="BodyText"/>
        <w:spacing w:line="292" w:lineRule="auto" w:before="56"/>
        <w:ind w:left="127"/>
      </w:pPr>
      <w:r>
        <w:rPr>
          <w:w w:val="105"/>
        </w:rPr>
        <w:t>Montana State University, Bozeman, MT 2009 – 2013</w:t>
      </w:r>
    </w:p>
    <w:p>
      <w:pPr>
        <w:pStyle w:val="BodyText"/>
        <w:spacing w:before="125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9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0" w:lineRule="auto"/>
        <w:ind w:left="424" w:right="424"/>
      </w:pPr>
      <w:r>
        <w:rPr>
          <w:w w:val="105"/>
        </w:rPr>
        <w:t>Deal Origination and Screening Due Diligence Management</w:t>
      </w:r>
      <w:r>
        <w:rPr>
          <w:spacing w:val="40"/>
          <w:w w:val="105"/>
        </w:rPr>
        <w:t> </w:t>
      </w:r>
      <w:r>
        <w:rPr>
          <w:w w:val="105"/>
        </w:rPr>
        <w:t>LBO Modeling</w:t>
      </w:r>
    </w:p>
    <w:p>
      <w:pPr>
        <w:pStyle w:val="BodyText"/>
        <w:spacing w:line="420" w:lineRule="auto" w:before="17"/>
        <w:ind w:left="424" w:right="1655"/>
      </w:pPr>
      <w:r>
        <w:rPr>
          <w:spacing w:val="-4"/>
          <w:w w:val="105"/>
        </w:rPr>
        <w:t>Excel </w:t>
      </w:r>
      <w:r>
        <w:rPr>
          <w:spacing w:val="-2"/>
          <w:w w:val="105"/>
        </w:rPr>
        <w:t>Bloomberg</w:t>
      </w:r>
      <w:r>
        <w:rPr>
          <w:spacing w:val="40"/>
          <w:w w:val="105"/>
        </w:rPr>
        <w:t> </w:t>
      </w:r>
      <w:r>
        <w:rPr>
          <w:w w:val="105"/>
        </w:rPr>
        <w:t>M&amp;A</w:t>
      </w:r>
      <w:r>
        <w:rPr>
          <w:spacing w:val="-3"/>
          <w:w w:val="105"/>
        </w:rPr>
        <w:t> </w:t>
      </w:r>
      <w:r>
        <w:rPr>
          <w:w w:val="105"/>
        </w:rPr>
        <w:t>Execution</w:t>
      </w:r>
    </w:p>
    <w:p>
      <w:pPr>
        <w:pStyle w:val="BodyText"/>
        <w:spacing w:line="420" w:lineRule="auto"/>
        <w:ind w:left="424" w:right="555"/>
      </w:pPr>
      <w:r>
        <w:rPr>
          <w:w w:val="105"/>
        </w:rPr>
        <w:t>Exit Planning and Divestitures Portfolio Value Creation</w:t>
      </w:r>
      <w:r>
        <w:rPr>
          <w:spacing w:val="40"/>
          <w:w w:val="105"/>
        </w:rPr>
        <w:t> </w:t>
      </w:r>
      <w:r>
        <w:rPr>
          <w:w w:val="105"/>
        </w:rPr>
        <w:t>FINRA Compliance</w:t>
      </w:r>
    </w:p>
    <w:p>
      <w:pPr>
        <w:pStyle w:val="BodyText"/>
        <w:spacing w:line="178" w:lineRule="exact"/>
        <w:ind w:left="424"/>
      </w:pPr>
      <w:r>
        <w:rPr>
          <w:w w:val="105"/>
        </w:rPr>
        <w:t>KPI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Analysis</w:t>
      </w:r>
    </w:p>
    <w:p>
      <w:pPr>
        <w:pStyle w:val="BodyText"/>
        <w:spacing w:before="93"/>
        <w:ind w:left="127"/>
      </w:pPr>
      <w:r>
        <w:rPr/>
        <w:br w:type="column"/>
      </w:r>
      <w:r>
        <w:rPr>
          <w:w w:val="105"/>
        </w:rPr>
        <w:t>Vice</w:t>
      </w:r>
      <w:r>
        <w:rPr>
          <w:spacing w:val="17"/>
          <w:w w:val="105"/>
        </w:rPr>
        <w:t> </w:t>
      </w:r>
      <w:r>
        <w:rPr>
          <w:w w:val="105"/>
        </w:rPr>
        <w:t>President,</w:t>
      </w:r>
      <w:r>
        <w:rPr>
          <w:spacing w:val="17"/>
          <w:w w:val="105"/>
        </w:rPr>
        <w:t> </w:t>
      </w:r>
      <w:r>
        <w:rPr>
          <w:w w:val="105"/>
        </w:rPr>
        <w:t>Bearpaw</w:t>
      </w:r>
      <w:r>
        <w:rPr>
          <w:spacing w:val="17"/>
          <w:w w:val="105"/>
        </w:rPr>
        <w:t> </w:t>
      </w:r>
      <w:r>
        <w:rPr>
          <w:w w:val="105"/>
        </w:rPr>
        <w:t>Ridge</w:t>
      </w:r>
      <w:r>
        <w:rPr>
          <w:spacing w:val="18"/>
          <w:w w:val="105"/>
        </w:rPr>
        <w:t> </w:t>
      </w:r>
      <w:r>
        <w:rPr>
          <w:w w:val="105"/>
        </w:rPr>
        <w:t>Capital</w:t>
      </w:r>
      <w:r>
        <w:rPr>
          <w:spacing w:val="17"/>
          <w:w w:val="105"/>
        </w:rPr>
        <w:t> </w:t>
      </w:r>
      <w:r>
        <w:rPr>
          <w:w w:val="105"/>
        </w:rPr>
        <w:t>Partners,</w:t>
      </w:r>
      <w:r>
        <w:rPr>
          <w:spacing w:val="17"/>
          <w:w w:val="105"/>
        </w:rPr>
        <w:t> </w:t>
      </w:r>
      <w:r>
        <w:rPr>
          <w:w w:val="105"/>
        </w:rPr>
        <w:t>Great</w:t>
      </w:r>
      <w:r>
        <w:rPr>
          <w:spacing w:val="17"/>
          <w:w w:val="105"/>
        </w:rPr>
        <w:t> </w:t>
      </w:r>
      <w:r>
        <w:rPr>
          <w:w w:val="105"/>
        </w:rPr>
        <w:t>Falls,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before="41"/>
        <w:ind w:left="12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725"/>
      </w:pPr>
      <w:r>
        <w:rPr>
          <w:w w:val="105"/>
        </w:rPr>
        <w:t>Managed 13 due diligence workstreams across financial, legal,</w:t>
      </w:r>
      <w:r>
        <w:rPr>
          <w:spacing w:val="80"/>
          <w:w w:val="105"/>
        </w:rPr>
        <w:t> </w:t>
      </w:r>
      <w:r>
        <w:rPr>
          <w:w w:val="105"/>
        </w:rPr>
        <w:t>commercial, and environmental areas for a $127M platform acquisition,</w:t>
      </w:r>
      <w:r>
        <w:rPr>
          <w:spacing w:val="80"/>
          <w:w w:val="105"/>
        </w:rPr>
        <w:t> </w:t>
      </w:r>
      <w:r>
        <w:rPr>
          <w:w w:val="105"/>
        </w:rPr>
        <w:t>completing all streams within 68 days.</w:t>
      </w:r>
    </w:p>
    <w:p>
      <w:pPr>
        <w:pStyle w:val="BodyText"/>
        <w:spacing w:line="302" w:lineRule="auto" w:before="92"/>
        <w:ind w:left="406" w:right="896"/>
        <w:jc w:val="both"/>
      </w:pPr>
      <w:r>
        <w:rPr>
          <w:w w:val="105"/>
        </w:rPr>
        <w:t>Sourced 87 new investment opportunities over a 14-month period by developing proprietary outreach campaigns and attending 6 industry </w:t>
      </w:r>
      <w:r>
        <w:rPr>
          <w:spacing w:val="-2"/>
          <w:w w:val="105"/>
        </w:rPr>
        <w:t>conferences.</w:t>
      </w:r>
    </w:p>
    <w:p>
      <w:pPr>
        <w:pStyle w:val="BodyText"/>
        <w:spacing w:line="292" w:lineRule="auto" w:before="85"/>
        <w:ind w:left="406"/>
      </w:pPr>
      <w:r>
        <w:rPr>
          <w:w w:val="105"/>
        </w:rPr>
        <w:t>Led</w:t>
      </w:r>
      <w:r>
        <w:rPr>
          <w:spacing w:val="20"/>
          <w:w w:val="105"/>
        </w:rPr>
        <w:t> </w:t>
      </w:r>
      <w:r>
        <w:rPr>
          <w:w w:val="105"/>
        </w:rPr>
        <w:t>a</w:t>
      </w:r>
      <w:r>
        <w:rPr>
          <w:spacing w:val="20"/>
          <w:w w:val="105"/>
        </w:rPr>
        <w:t> </w:t>
      </w:r>
      <w:r>
        <w:rPr>
          <w:w w:val="105"/>
        </w:rPr>
        <w:t>sell-side</w:t>
      </w:r>
      <w:r>
        <w:rPr>
          <w:spacing w:val="20"/>
          <w:w w:val="105"/>
        </w:rPr>
        <w:t> </w:t>
      </w:r>
      <w:r>
        <w:rPr>
          <w:w w:val="105"/>
        </w:rPr>
        <w:t>process</w:t>
      </w:r>
      <w:r>
        <w:rPr>
          <w:spacing w:val="20"/>
          <w:w w:val="105"/>
        </w:rPr>
        <w:t> </w:t>
      </w:r>
      <w:r>
        <w:rPr>
          <w:w w:val="105"/>
        </w:rPr>
        <w:t>that</w:t>
      </w:r>
      <w:r>
        <w:rPr>
          <w:spacing w:val="20"/>
          <w:w w:val="105"/>
        </w:rPr>
        <w:t> </w:t>
      </w:r>
      <w:r>
        <w:rPr>
          <w:w w:val="105"/>
        </w:rPr>
        <w:t>achieved</w:t>
      </w:r>
      <w:r>
        <w:rPr>
          <w:spacing w:val="20"/>
          <w:w w:val="105"/>
        </w:rPr>
        <w:t> </w:t>
      </w:r>
      <w:r>
        <w:rPr>
          <w:w w:val="105"/>
        </w:rPr>
        <w:t>an</w:t>
      </w:r>
      <w:r>
        <w:rPr>
          <w:spacing w:val="20"/>
          <w:w w:val="105"/>
        </w:rPr>
        <w:t> </w:t>
      </w:r>
      <w:r>
        <w:rPr>
          <w:w w:val="105"/>
        </w:rPr>
        <w:t>exit</w:t>
      </w:r>
      <w:r>
        <w:rPr>
          <w:spacing w:val="20"/>
          <w:w w:val="105"/>
        </w:rPr>
        <w:t> </w:t>
      </w:r>
      <w:r>
        <w:rPr>
          <w:w w:val="105"/>
        </w:rPr>
        <w:t>value</w:t>
      </w:r>
      <w:r>
        <w:rPr>
          <w:spacing w:val="20"/>
          <w:w w:val="105"/>
        </w:rPr>
        <w:t> </w:t>
      </w:r>
      <w:r>
        <w:rPr>
          <w:w w:val="105"/>
        </w:rPr>
        <w:t>of</w:t>
      </w:r>
      <w:r>
        <w:rPr>
          <w:spacing w:val="20"/>
          <w:w w:val="105"/>
        </w:rPr>
        <w:t> </w:t>
      </w:r>
      <w:r>
        <w:rPr>
          <w:w w:val="105"/>
        </w:rPr>
        <w:t>$193M</w:t>
      </w:r>
      <w:r>
        <w:rPr>
          <w:spacing w:val="20"/>
          <w:w w:val="105"/>
        </w:rPr>
        <w:t> </w:t>
      </w:r>
      <w:r>
        <w:rPr>
          <w:w w:val="105"/>
        </w:rPr>
        <w:t>for</w:t>
      </w:r>
      <w:r>
        <w:rPr>
          <w:spacing w:val="20"/>
          <w:w w:val="105"/>
        </w:rPr>
        <w:t> </w:t>
      </w:r>
      <w:r>
        <w:rPr>
          <w:w w:val="105"/>
        </w:rPr>
        <w:t>a</w:t>
      </w:r>
      <w:r>
        <w:rPr>
          <w:spacing w:val="20"/>
          <w:w w:val="105"/>
        </w:rPr>
        <w:t> </w:t>
      </w:r>
      <w:r>
        <w:rPr>
          <w:w w:val="105"/>
        </w:rPr>
        <w:t>specialty services</w:t>
      </w:r>
      <w:r>
        <w:rPr>
          <w:spacing w:val="38"/>
          <w:w w:val="105"/>
        </w:rPr>
        <w:t> </w:t>
      </w:r>
      <w:r>
        <w:rPr>
          <w:w w:val="105"/>
        </w:rPr>
        <w:t>portfolio</w:t>
      </w:r>
      <w:r>
        <w:rPr>
          <w:spacing w:val="38"/>
          <w:w w:val="105"/>
        </w:rPr>
        <w:t> </w:t>
      </w:r>
      <w:r>
        <w:rPr>
          <w:w w:val="105"/>
        </w:rPr>
        <w:t>company,</w:t>
      </w:r>
      <w:r>
        <w:rPr>
          <w:spacing w:val="38"/>
          <w:w w:val="105"/>
        </w:rPr>
        <w:t> </w:t>
      </w:r>
      <w:r>
        <w:rPr>
          <w:w w:val="105"/>
        </w:rPr>
        <w:t>exceeding</w:t>
      </w:r>
      <w:r>
        <w:rPr>
          <w:spacing w:val="38"/>
          <w:w w:val="105"/>
        </w:rPr>
        <w:t> </w:t>
      </w:r>
      <w:r>
        <w:rPr>
          <w:w w:val="105"/>
        </w:rPr>
        <w:t>the</w:t>
      </w:r>
      <w:r>
        <w:rPr>
          <w:spacing w:val="38"/>
          <w:w w:val="105"/>
        </w:rPr>
        <w:t> </w:t>
      </w:r>
      <w:r>
        <w:rPr>
          <w:w w:val="105"/>
        </w:rPr>
        <w:t>original</w:t>
      </w:r>
      <w:r>
        <w:rPr>
          <w:spacing w:val="38"/>
          <w:w w:val="105"/>
        </w:rPr>
        <w:t> </w:t>
      </w:r>
      <w:r>
        <w:rPr>
          <w:w w:val="105"/>
        </w:rPr>
        <w:t>entry</w:t>
      </w:r>
      <w:r>
        <w:rPr>
          <w:spacing w:val="38"/>
          <w:w w:val="105"/>
        </w:rPr>
        <w:t> </w:t>
      </w:r>
      <w:r>
        <w:rPr>
          <w:w w:val="105"/>
        </w:rPr>
        <w:t>thesis</w:t>
      </w:r>
      <w:r>
        <w:rPr>
          <w:spacing w:val="38"/>
          <w:w w:val="105"/>
        </w:rPr>
        <w:t> </w:t>
      </w:r>
      <w:r>
        <w:rPr>
          <w:w w:val="105"/>
        </w:rPr>
        <w:t>by</w:t>
      </w:r>
      <w:r>
        <w:rPr>
          <w:spacing w:val="38"/>
          <w:w w:val="105"/>
        </w:rPr>
        <w:t> </w:t>
      </w:r>
      <w:r>
        <w:rPr>
          <w:w w:val="105"/>
        </w:rPr>
        <w:t>$41.3M.</w:t>
      </w:r>
    </w:p>
    <w:p>
      <w:pPr>
        <w:pStyle w:val="BodyText"/>
        <w:spacing w:line="292" w:lineRule="auto" w:before="106"/>
        <w:ind w:left="406" w:right="407"/>
      </w:pPr>
      <w:r>
        <w:rPr>
          <w:w w:val="105"/>
        </w:rPr>
        <w:t>Directed</w:t>
      </w:r>
      <w:r>
        <w:rPr>
          <w:spacing w:val="40"/>
          <w:w w:val="105"/>
        </w:rPr>
        <w:t> </w:t>
      </w:r>
      <w:r>
        <w:rPr>
          <w:w w:val="105"/>
        </w:rPr>
        <w:t>post-close</w:t>
      </w:r>
      <w:r>
        <w:rPr>
          <w:spacing w:val="40"/>
          <w:w w:val="105"/>
        </w:rPr>
        <w:t> </w:t>
      </w:r>
      <w:r>
        <w:rPr>
          <w:w w:val="105"/>
        </w:rPr>
        <w:t>integration</w:t>
      </w:r>
      <w:r>
        <w:rPr>
          <w:spacing w:val="40"/>
          <w:w w:val="105"/>
        </w:rPr>
        <w:t> </w:t>
      </w:r>
      <w:r>
        <w:rPr>
          <w:w w:val="105"/>
        </w:rPr>
        <w:t>planning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2</w:t>
      </w:r>
      <w:r>
        <w:rPr>
          <w:spacing w:val="40"/>
          <w:w w:val="105"/>
        </w:rPr>
        <w:t> </w:t>
      </w:r>
      <w:r>
        <w:rPr>
          <w:w w:val="105"/>
        </w:rPr>
        <w:t>add-on</w:t>
      </w:r>
      <w:r>
        <w:rPr>
          <w:spacing w:val="40"/>
          <w:w w:val="105"/>
        </w:rPr>
        <w:t> </w:t>
      </w:r>
      <w:r>
        <w:rPr>
          <w:w w:val="105"/>
        </w:rPr>
        <w:t>acquisitions, coordinating</w:t>
      </w:r>
      <w:r>
        <w:rPr>
          <w:spacing w:val="31"/>
          <w:w w:val="105"/>
        </w:rPr>
        <w:t> </w:t>
      </w:r>
      <w:r>
        <w:rPr>
          <w:w w:val="105"/>
        </w:rPr>
        <w:t>cross-functional</w:t>
      </w:r>
      <w:r>
        <w:rPr>
          <w:spacing w:val="31"/>
          <w:w w:val="105"/>
        </w:rPr>
        <w:t> </w:t>
      </w:r>
      <w:r>
        <w:rPr>
          <w:w w:val="105"/>
        </w:rPr>
        <w:t>teams</w:t>
      </w:r>
      <w:r>
        <w:rPr>
          <w:spacing w:val="31"/>
          <w:w w:val="105"/>
        </w:rPr>
        <w:t> </w:t>
      </w:r>
      <w:r>
        <w:rPr>
          <w:w w:val="105"/>
        </w:rPr>
        <w:t>of</w:t>
      </w:r>
      <w:r>
        <w:rPr>
          <w:spacing w:val="31"/>
          <w:w w:val="105"/>
        </w:rPr>
        <w:t> </w:t>
      </w:r>
      <w:r>
        <w:rPr>
          <w:w w:val="105"/>
        </w:rPr>
        <w:t>9</w:t>
      </w:r>
      <w:r>
        <w:rPr>
          <w:spacing w:val="31"/>
          <w:w w:val="105"/>
        </w:rPr>
        <w:t> </w:t>
      </w:r>
      <w:r>
        <w:rPr>
          <w:w w:val="105"/>
        </w:rPr>
        <w:t>internal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external</w:t>
      </w:r>
      <w:r>
        <w:rPr>
          <w:spacing w:val="31"/>
          <w:w w:val="105"/>
        </w:rPr>
        <w:t> </w:t>
      </w:r>
      <w:r>
        <w:rPr>
          <w:w w:val="105"/>
        </w:rPr>
        <w:t>professionals per transaction.</w:t>
      </w:r>
    </w:p>
    <w:p>
      <w:pPr>
        <w:pStyle w:val="BodyText"/>
        <w:spacing w:before="12"/>
      </w:pPr>
    </w:p>
    <w:p>
      <w:pPr>
        <w:pStyle w:val="BodyText"/>
        <w:ind w:left="127"/>
      </w:pPr>
      <w:r>
        <w:rPr>
          <w:w w:val="105"/>
        </w:rPr>
        <w:t>Senior</w:t>
      </w:r>
      <w:r>
        <w:rPr>
          <w:spacing w:val="7"/>
          <w:w w:val="105"/>
        </w:rPr>
        <w:t> </w:t>
      </w:r>
      <w:r>
        <w:rPr>
          <w:w w:val="105"/>
        </w:rPr>
        <w:t>Associate,</w:t>
      </w:r>
      <w:r>
        <w:rPr>
          <w:spacing w:val="19"/>
          <w:w w:val="105"/>
        </w:rPr>
        <w:t> </w:t>
      </w:r>
      <w:r>
        <w:rPr>
          <w:w w:val="105"/>
        </w:rPr>
        <w:t>Sweetgrass</w:t>
      </w:r>
      <w:r>
        <w:rPr>
          <w:spacing w:val="19"/>
          <w:w w:val="105"/>
        </w:rPr>
        <w:t> </w:t>
      </w:r>
      <w:r>
        <w:rPr>
          <w:w w:val="105"/>
        </w:rPr>
        <w:t>Basin</w:t>
      </w:r>
      <w:r>
        <w:rPr>
          <w:spacing w:val="19"/>
          <w:w w:val="105"/>
        </w:rPr>
        <w:t> </w:t>
      </w:r>
      <w:r>
        <w:rPr>
          <w:w w:val="105"/>
        </w:rPr>
        <w:t>Equity</w:t>
      </w:r>
      <w:r>
        <w:rPr>
          <w:spacing w:val="19"/>
          <w:w w:val="105"/>
        </w:rPr>
        <w:t> </w:t>
      </w:r>
      <w:r>
        <w:rPr>
          <w:w w:val="105"/>
        </w:rPr>
        <w:t>Group,</w:t>
      </w:r>
      <w:r>
        <w:rPr>
          <w:spacing w:val="19"/>
          <w:w w:val="105"/>
        </w:rPr>
        <w:t> </w:t>
      </w:r>
      <w:r>
        <w:rPr>
          <w:w w:val="105"/>
        </w:rPr>
        <w:t>Helena,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before="41"/>
        <w:ind w:left="127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407"/>
      </w:pPr>
      <w:r>
        <w:rPr>
          <w:w w:val="105"/>
        </w:rPr>
        <w:t>Managed</w:t>
      </w:r>
      <w:r>
        <w:rPr>
          <w:spacing w:val="40"/>
          <w:w w:val="105"/>
        </w:rPr>
        <w:t> </w:t>
      </w:r>
      <w:r>
        <w:rPr>
          <w:w w:val="105"/>
        </w:rPr>
        <w:t>9</w:t>
      </w:r>
      <w:r>
        <w:rPr>
          <w:spacing w:val="40"/>
          <w:w w:val="105"/>
        </w:rPr>
        <w:t> </w:t>
      </w:r>
      <w:r>
        <w:rPr>
          <w:w w:val="105"/>
        </w:rPr>
        <w:t>due</w:t>
      </w:r>
      <w:r>
        <w:rPr>
          <w:spacing w:val="40"/>
          <w:w w:val="105"/>
        </w:rPr>
        <w:t> </w:t>
      </w:r>
      <w:r>
        <w:rPr>
          <w:w w:val="105"/>
        </w:rPr>
        <w:t>diligence</w:t>
      </w:r>
      <w:r>
        <w:rPr>
          <w:spacing w:val="40"/>
          <w:w w:val="105"/>
        </w:rPr>
        <w:t> </w:t>
      </w:r>
      <w:r>
        <w:rPr>
          <w:w w:val="105"/>
        </w:rPr>
        <w:t>workstreams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healthcare</w:t>
      </w:r>
      <w:r>
        <w:rPr>
          <w:spacing w:val="40"/>
          <w:w w:val="105"/>
        </w:rPr>
        <w:t> </w:t>
      </w:r>
      <w:r>
        <w:rPr>
          <w:w w:val="105"/>
        </w:rPr>
        <w:t>distribution platform</w:t>
      </w:r>
      <w:r>
        <w:rPr>
          <w:spacing w:val="35"/>
          <w:w w:val="105"/>
        </w:rPr>
        <w:t> </w:t>
      </w:r>
      <w:r>
        <w:rPr>
          <w:w w:val="105"/>
        </w:rPr>
        <w:t>deal,</w:t>
      </w:r>
      <w:r>
        <w:rPr>
          <w:spacing w:val="35"/>
          <w:w w:val="105"/>
        </w:rPr>
        <w:t> </w:t>
      </w:r>
      <w:r>
        <w:rPr>
          <w:w w:val="105"/>
        </w:rPr>
        <w:t>delivering</w:t>
      </w:r>
      <w:r>
        <w:rPr>
          <w:spacing w:val="35"/>
          <w:w w:val="105"/>
        </w:rPr>
        <w:t> </w:t>
      </w:r>
      <w:r>
        <w:rPr>
          <w:w w:val="105"/>
        </w:rPr>
        <w:t>consolidated</w:t>
      </w:r>
      <w:r>
        <w:rPr>
          <w:spacing w:val="35"/>
          <w:w w:val="105"/>
        </w:rPr>
        <w:t> </w:t>
      </w:r>
      <w:r>
        <w:rPr>
          <w:w w:val="105"/>
        </w:rPr>
        <w:t>findings</w:t>
      </w:r>
      <w:r>
        <w:rPr>
          <w:spacing w:val="35"/>
          <w:w w:val="105"/>
        </w:rPr>
        <w:t> </w:t>
      </w:r>
      <w:r>
        <w:rPr>
          <w:w w:val="105"/>
        </w:rPr>
        <w:t>to</w:t>
      </w:r>
      <w:r>
        <w:rPr>
          <w:spacing w:val="35"/>
          <w:w w:val="105"/>
        </w:rPr>
        <w:t> </w:t>
      </w:r>
      <w:r>
        <w:rPr>
          <w:w w:val="105"/>
        </w:rPr>
        <w:t>the</w:t>
      </w:r>
      <w:r>
        <w:rPr>
          <w:spacing w:val="35"/>
          <w:w w:val="105"/>
        </w:rPr>
        <w:t> </w:t>
      </w:r>
      <w:r>
        <w:rPr>
          <w:w w:val="105"/>
        </w:rPr>
        <w:t>investment</w:t>
      </w:r>
      <w:r>
        <w:rPr>
          <w:spacing w:val="35"/>
          <w:w w:val="105"/>
        </w:rPr>
        <w:t> </w:t>
      </w:r>
      <w:r>
        <w:rPr>
          <w:w w:val="105"/>
        </w:rPr>
        <w:t>committee within 54 days of exclusivity.</w:t>
      </w:r>
    </w:p>
    <w:p>
      <w:pPr>
        <w:pStyle w:val="BodyText"/>
        <w:spacing w:line="302" w:lineRule="auto" w:before="92"/>
        <w:ind w:left="406" w:right="481"/>
      </w:pPr>
      <w:r>
        <w:rPr>
          <w:w w:val="105"/>
        </w:rPr>
        <w:t>Screened</w:t>
      </w:r>
      <w:r>
        <w:rPr>
          <w:spacing w:val="40"/>
          <w:w w:val="105"/>
        </w:rPr>
        <w:t> </w:t>
      </w:r>
      <w:r>
        <w:rPr>
          <w:w w:val="105"/>
        </w:rPr>
        <w:t>143</w:t>
      </w:r>
      <w:r>
        <w:rPr>
          <w:spacing w:val="40"/>
          <w:w w:val="105"/>
        </w:rPr>
        <w:t> </w:t>
      </w:r>
      <w:r>
        <w:rPr>
          <w:w w:val="105"/>
        </w:rPr>
        <w:t>inbound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proprietary</w:t>
      </w:r>
      <w:r>
        <w:rPr>
          <w:spacing w:val="40"/>
          <w:w w:val="105"/>
        </w:rPr>
        <w:t> </w:t>
      </w:r>
      <w:r>
        <w:rPr>
          <w:w w:val="105"/>
        </w:rPr>
        <w:t>deal</w:t>
      </w:r>
      <w:r>
        <w:rPr>
          <w:spacing w:val="40"/>
          <w:w w:val="105"/>
        </w:rPr>
        <w:t> </w:t>
      </w:r>
      <w:r>
        <w:rPr>
          <w:w w:val="105"/>
        </w:rPr>
        <w:t>opportunities</w:t>
      </w:r>
      <w:r>
        <w:rPr>
          <w:spacing w:val="40"/>
          <w:w w:val="105"/>
        </w:rPr>
        <w:t> </w:t>
      </w:r>
      <w:r>
        <w:rPr>
          <w:w w:val="105"/>
        </w:rPr>
        <w:t>across industrials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business</w:t>
      </w:r>
      <w:r>
        <w:rPr>
          <w:spacing w:val="35"/>
          <w:w w:val="105"/>
        </w:rPr>
        <w:t> </w:t>
      </w:r>
      <w:r>
        <w:rPr>
          <w:w w:val="105"/>
        </w:rPr>
        <w:t>services,</w:t>
      </w:r>
      <w:r>
        <w:rPr>
          <w:spacing w:val="35"/>
          <w:w w:val="105"/>
        </w:rPr>
        <w:t> </w:t>
      </w:r>
      <w:r>
        <w:rPr>
          <w:w w:val="105"/>
        </w:rPr>
        <w:t>advancing</w:t>
      </w:r>
      <w:r>
        <w:rPr>
          <w:spacing w:val="35"/>
          <w:w w:val="105"/>
        </w:rPr>
        <w:t> </w:t>
      </w:r>
      <w:r>
        <w:rPr>
          <w:w w:val="105"/>
        </w:rPr>
        <w:t>11</w:t>
      </w:r>
      <w:r>
        <w:rPr>
          <w:spacing w:val="35"/>
          <w:w w:val="105"/>
        </w:rPr>
        <w:t> </w:t>
      </w:r>
      <w:r>
        <w:rPr>
          <w:w w:val="105"/>
        </w:rPr>
        <w:t>to</w:t>
      </w:r>
      <w:r>
        <w:rPr>
          <w:spacing w:val="35"/>
          <w:w w:val="105"/>
        </w:rPr>
        <w:t> </w:t>
      </w:r>
      <w:r>
        <w:rPr>
          <w:w w:val="105"/>
        </w:rPr>
        <w:t>preliminary</w:t>
      </w:r>
      <w:r>
        <w:rPr>
          <w:spacing w:val="35"/>
          <w:w w:val="105"/>
        </w:rPr>
        <w:t> </w:t>
      </w:r>
      <w:r>
        <w:rPr>
          <w:w w:val="105"/>
        </w:rPr>
        <w:t>diligence within an average of 7 days.</w:t>
      </w:r>
    </w:p>
    <w:p>
      <w:pPr>
        <w:pStyle w:val="BodyText"/>
        <w:spacing w:line="302" w:lineRule="auto" w:before="84"/>
        <w:ind w:left="406" w:right="407"/>
      </w:pPr>
      <w:r>
        <w:rPr>
          <w:w w:val="105"/>
        </w:rPr>
        <w:t>Structured</w:t>
      </w:r>
      <w:r>
        <w:rPr>
          <w:spacing w:val="34"/>
          <w:w w:val="105"/>
        </w:rPr>
        <w:t> </w:t>
      </w:r>
      <w:r>
        <w:rPr>
          <w:w w:val="105"/>
        </w:rPr>
        <w:t>and</w:t>
      </w:r>
      <w:r>
        <w:rPr>
          <w:spacing w:val="34"/>
          <w:w w:val="105"/>
        </w:rPr>
        <w:t> </w:t>
      </w:r>
      <w:r>
        <w:rPr>
          <w:w w:val="105"/>
        </w:rPr>
        <w:t>executed</w:t>
      </w:r>
      <w:r>
        <w:rPr>
          <w:spacing w:val="34"/>
          <w:w w:val="105"/>
        </w:rPr>
        <w:t> </w:t>
      </w:r>
      <w:r>
        <w:rPr>
          <w:w w:val="105"/>
        </w:rPr>
        <w:t>a</w:t>
      </w:r>
      <w:r>
        <w:rPr>
          <w:spacing w:val="34"/>
          <w:w w:val="105"/>
        </w:rPr>
        <w:t> </w:t>
      </w:r>
      <w:r>
        <w:rPr>
          <w:w w:val="105"/>
        </w:rPr>
        <w:t>partial</w:t>
      </w:r>
      <w:r>
        <w:rPr>
          <w:spacing w:val="34"/>
          <w:w w:val="105"/>
        </w:rPr>
        <w:t> </w:t>
      </w:r>
      <w:r>
        <w:rPr>
          <w:w w:val="105"/>
        </w:rPr>
        <w:t>divestiture</w:t>
      </w:r>
      <w:r>
        <w:rPr>
          <w:spacing w:val="34"/>
          <w:w w:val="105"/>
        </w:rPr>
        <w:t> </w:t>
      </w:r>
      <w:r>
        <w:rPr>
          <w:w w:val="105"/>
        </w:rPr>
        <w:t>generating</w:t>
      </w:r>
      <w:r>
        <w:rPr>
          <w:spacing w:val="34"/>
          <w:w w:val="105"/>
        </w:rPr>
        <w:t> </w:t>
      </w:r>
      <w:r>
        <w:rPr>
          <w:w w:val="105"/>
        </w:rPr>
        <w:t>$183M</w:t>
      </w:r>
      <w:r>
        <w:rPr>
          <w:spacing w:val="34"/>
          <w:w w:val="105"/>
        </w:rPr>
        <w:t> </w:t>
      </w:r>
      <w:r>
        <w:rPr>
          <w:w w:val="105"/>
        </w:rPr>
        <w:t>in</w:t>
      </w:r>
      <w:r>
        <w:rPr>
          <w:spacing w:val="34"/>
          <w:w w:val="105"/>
        </w:rPr>
        <w:t> </w:t>
      </w:r>
      <w:r>
        <w:rPr>
          <w:w w:val="105"/>
        </w:rPr>
        <w:t>gross proceeds,</w:t>
      </w:r>
      <w:r>
        <w:rPr>
          <w:spacing w:val="27"/>
          <w:w w:val="105"/>
        </w:rPr>
        <w:t> </w:t>
      </w:r>
      <w:r>
        <w:rPr>
          <w:w w:val="105"/>
        </w:rPr>
        <w:t>producing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2.7x</w:t>
      </w:r>
      <w:r>
        <w:rPr>
          <w:spacing w:val="27"/>
          <w:w w:val="105"/>
        </w:rPr>
        <w:t> </w:t>
      </w:r>
      <w:r>
        <w:rPr>
          <w:w w:val="105"/>
        </w:rPr>
        <w:t>multiple</w:t>
      </w:r>
      <w:r>
        <w:rPr>
          <w:spacing w:val="27"/>
          <w:w w:val="105"/>
        </w:rPr>
        <w:t> </w:t>
      </w:r>
      <w:r>
        <w:rPr>
          <w:w w:val="105"/>
        </w:rPr>
        <w:t>on</w:t>
      </w:r>
      <w:r>
        <w:rPr>
          <w:spacing w:val="27"/>
          <w:w w:val="105"/>
        </w:rPr>
        <w:t> </w:t>
      </w:r>
      <w:r>
        <w:rPr>
          <w:w w:val="105"/>
        </w:rPr>
        <w:t>invested</w:t>
      </w:r>
      <w:r>
        <w:rPr>
          <w:spacing w:val="27"/>
          <w:w w:val="105"/>
        </w:rPr>
        <w:t> </w:t>
      </w:r>
      <w:r>
        <w:rPr>
          <w:w w:val="105"/>
        </w:rPr>
        <w:t>capital</w:t>
      </w:r>
      <w:r>
        <w:rPr>
          <w:spacing w:val="27"/>
          <w:w w:val="105"/>
        </w:rPr>
        <w:t> </w:t>
      </w:r>
      <w:r>
        <w:rPr>
          <w:w w:val="105"/>
        </w:rPr>
        <w:t>over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38-month hold period.</w:t>
      </w:r>
    </w:p>
    <w:p>
      <w:pPr>
        <w:pStyle w:val="BodyText"/>
        <w:spacing w:line="292" w:lineRule="auto" w:before="85"/>
        <w:ind w:left="406" w:right="566"/>
      </w:pPr>
      <w:r>
        <w:rPr>
          <w:w w:val="105"/>
        </w:rPr>
        <w:t>Prepared quarterly operating reviews for senior leadership, analyzing</w:t>
      </w:r>
      <w:r>
        <w:rPr>
          <w:spacing w:val="80"/>
          <w:w w:val="105"/>
        </w:rPr>
        <w:t> </w:t>
      </w:r>
      <w:r>
        <w:rPr>
          <w:w w:val="105"/>
        </w:rPr>
        <w:t>revenue</w:t>
      </w:r>
      <w:r>
        <w:rPr>
          <w:spacing w:val="21"/>
          <w:w w:val="105"/>
        </w:rPr>
        <w:t> </w:t>
      </w:r>
      <w:r>
        <w:rPr>
          <w:w w:val="105"/>
        </w:rPr>
        <w:t>trends</w:t>
      </w:r>
      <w:r>
        <w:rPr>
          <w:spacing w:val="22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margin</w:t>
      </w:r>
      <w:r>
        <w:rPr>
          <w:spacing w:val="22"/>
          <w:w w:val="105"/>
        </w:rPr>
        <w:t> </w:t>
      </w:r>
      <w:r>
        <w:rPr>
          <w:w w:val="105"/>
        </w:rPr>
        <w:t>drivers</w:t>
      </w:r>
      <w:r>
        <w:rPr>
          <w:spacing w:val="22"/>
          <w:w w:val="105"/>
        </w:rPr>
        <w:t> </w:t>
      </w:r>
      <w:r>
        <w:rPr>
          <w:w w:val="105"/>
        </w:rPr>
        <w:t>across</w:t>
      </w:r>
      <w:r>
        <w:rPr>
          <w:spacing w:val="22"/>
          <w:w w:val="105"/>
        </w:rPr>
        <w:t> </w:t>
      </w:r>
      <w:r>
        <w:rPr>
          <w:w w:val="105"/>
        </w:rPr>
        <w:t>the</w:t>
      </w:r>
      <w:r>
        <w:rPr>
          <w:spacing w:val="22"/>
          <w:w w:val="105"/>
        </w:rPr>
        <w:t> </w:t>
      </w:r>
      <w:r>
        <w:rPr>
          <w:w w:val="105"/>
        </w:rPr>
        <w:t>fund's</w:t>
      </w:r>
      <w:r>
        <w:rPr>
          <w:spacing w:val="22"/>
          <w:w w:val="105"/>
        </w:rPr>
        <w:t> </w:t>
      </w:r>
      <w:r>
        <w:rPr>
          <w:w w:val="105"/>
        </w:rPr>
        <w:t>active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holdings.</w:t>
      </w:r>
    </w:p>
    <w:p>
      <w:pPr>
        <w:pStyle w:val="BodyText"/>
        <w:spacing w:before="12"/>
      </w:pPr>
    </w:p>
    <w:p>
      <w:pPr>
        <w:pStyle w:val="BodyText"/>
        <w:ind w:left="127"/>
      </w:pPr>
      <w:r>
        <w:rPr>
          <w:w w:val="105"/>
        </w:rPr>
        <w:t>Associate,</w:t>
      </w:r>
      <w:r>
        <w:rPr>
          <w:spacing w:val="19"/>
          <w:w w:val="105"/>
        </w:rPr>
        <w:t> </w:t>
      </w:r>
      <w:r>
        <w:rPr>
          <w:w w:val="105"/>
        </w:rPr>
        <w:t>Judith</w:t>
      </w:r>
      <w:r>
        <w:rPr>
          <w:spacing w:val="20"/>
          <w:w w:val="105"/>
        </w:rPr>
        <w:t> </w:t>
      </w:r>
      <w:r>
        <w:rPr>
          <w:w w:val="105"/>
        </w:rPr>
        <w:t>Basin</w:t>
      </w:r>
      <w:r>
        <w:rPr>
          <w:spacing w:val="20"/>
          <w:w w:val="105"/>
        </w:rPr>
        <w:t> </w:t>
      </w:r>
      <w:r>
        <w:rPr>
          <w:w w:val="105"/>
        </w:rPr>
        <w:t>Growth</w:t>
      </w:r>
      <w:r>
        <w:rPr>
          <w:spacing w:val="20"/>
          <w:w w:val="105"/>
        </w:rPr>
        <w:t> </w:t>
      </w:r>
      <w:r>
        <w:rPr>
          <w:w w:val="105"/>
        </w:rPr>
        <w:t>Partners,</w:t>
      </w:r>
      <w:r>
        <w:rPr>
          <w:spacing w:val="20"/>
          <w:w w:val="105"/>
        </w:rPr>
        <w:t> </w:t>
      </w:r>
      <w:r>
        <w:rPr>
          <w:w w:val="105"/>
        </w:rPr>
        <w:t>Billings,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before="41"/>
        <w:ind w:left="127"/>
      </w:pPr>
      <w:r>
        <w:rPr/>
        <w:t>2015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3258" w:space="1410"/>
            <w:col w:w="6686"/>
          </w:cols>
        </w:sectPr>
      </w:pPr>
    </w:p>
    <w:p>
      <w:pPr>
        <w:pStyle w:val="BodyText"/>
        <w:spacing w:before="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638662"/>
                                </a:moveTo>
                                <a:lnTo>
                                  <a:pt x="0" y="463866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63866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4324337"/>
                                </a:lnTo>
                                <a:lnTo>
                                  <a:pt x="2581262" y="432433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30860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9816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9816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28649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629024"/>
                            <a:ext cx="3000375" cy="602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029325">
                                <a:moveTo>
                                  <a:pt x="47625" y="4687709"/>
                                </a:moveTo>
                                <a:lnTo>
                                  <a:pt x="27165" y="4667250"/>
                                </a:lnTo>
                                <a:lnTo>
                                  <a:pt x="20472" y="4667250"/>
                                </a:lnTo>
                                <a:lnTo>
                                  <a:pt x="0" y="4687709"/>
                                </a:lnTo>
                                <a:lnTo>
                                  <a:pt x="0" y="4691291"/>
                                </a:lnTo>
                                <a:lnTo>
                                  <a:pt x="0" y="4694415"/>
                                </a:lnTo>
                                <a:lnTo>
                                  <a:pt x="20472" y="4714875"/>
                                </a:lnTo>
                                <a:lnTo>
                                  <a:pt x="27165" y="4714875"/>
                                </a:lnTo>
                                <a:lnTo>
                                  <a:pt x="47625" y="4694415"/>
                                </a:lnTo>
                                <a:lnTo>
                                  <a:pt x="47625" y="4687709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4278147"/>
                                </a:moveTo>
                                <a:lnTo>
                                  <a:pt x="27165" y="4257675"/>
                                </a:lnTo>
                                <a:lnTo>
                                  <a:pt x="20472" y="4257675"/>
                                </a:lnTo>
                                <a:lnTo>
                                  <a:pt x="0" y="4278147"/>
                                </a:lnTo>
                                <a:lnTo>
                                  <a:pt x="0" y="4281716"/>
                                </a:lnTo>
                                <a:lnTo>
                                  <a:pt x="0" y="4284840"/>
                                </a:lnTo>
                                <a:lnTo>
                                  <a:pt x="20472" y="4305300"/>
                                </a:lnTo>
                                <a:lnTo>
                                  <a:pt x="27165" y="4305300"/>
                                </a:lnTo>
                                <a:lnTo>
                                  <a:pt x="47625" y="4284840"/>
                                </a:lnTo>
                                <a:lnTo>
                                  <a:pt x="47625" y="42781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4078122"/>
                                </a:moveTo>
                                <a:lnTo>
                                  <a:pt x="27165" y="4057650"/>
                                </a:lnTo>
                                <a:lnTo>
                                  <a:pt x="20472" y="4057650"/>
                                </a:lnTo>
                                <a:lnTo>
                                  <a:pt x="0" y="4078122"/>
                                </a:lnTo>
                                <a:lnTo>
                                  <a:pt x="0" y="4081691"/>
                                </a:lnTo>
                                <a:lnTo>
                                  <a:pt x="0" y="4084815"/>
                                </a:lnTo>
                                <a:lnTo>
                                  <a:pt x="20472" y="4105275"/>
                                </a:lnTo>
                                <a:lnTo>
                                  <a:pt x="27165" y="4105275"/>
                                </a:lnTo>
                                <a:lnTo>
                                  <a:pt x="47625" y="4084815"/>
                                </a:lnTo>
                                <a:lnTo>
                                  <a:pt x="47625" y="40781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668547"/>
                                </a:moveTo>
                                <a:lnTo>
                                  <a:pt x="27165" y="3648075"/>
                                </a:lnTo>
                                <a:lnTo>
                                  <a:pt x="20472" y="3648075"/>
                                </a:lnTo>
                                <a:lnTo>
                                  <a:pt x="0" y="3668547"/>
                                </a:lnTo>
                                <a:lnTo>
                                  <a:pt x="0" y="3672116"/>
                                </a:lnTo>
                                <a:lnTo>
                                  <a:pt x="0" y="3675240"/>
                                </a:lnTo>
                                <a:lnTo>
                                  <a:pt x="20472" y="3695700"/>
                                </a:lnTo>
                                <a:lnTo>
                                  <a:pt x="27165" y="3695700"/>
                                </a:lnTo>
                                <a:lnTo>
                                  <a:pt x="47625" y="3675240"/>
                                </a:lnTo>
                                <a:lnTo>
                                  <a:pt x="47625" y="36685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2858922"/>
                                </a:moveTo>
                                <a:lnTo>
                                  <a:pt x="27165" y="2838450"/>
                                </a:lnTo>
                                <a:lnTo>
                                  <a:pt x="20472" y="2838450"/>
                                </a:lnTo>
                                <a:lnTo>
                                  <a:pt x="0" y="2858922"/>
                                </a:lnTo>
                                <a:lnTo>
                                  <a:pt x="0" y="2862491"/>
                                </a:lnTo>
                                <a:lnTo>
                                  <a:pt x="0" y="2865615"/>
                                </a:lnTo>
                                <a:lnTo>
                                  <a:pt x="20472" y="2886075"/>
                                </a:lnTo>
                                <a:lnTo>
                                  <a:pt x="27165" y="2886075"/>
                                </a:lnTo>
                                <a:lnTo>
                                  <a:pt x="47625" y="2865615"/>
                                </a:lnTo>
                                <a:lnTo>
                                  <a:pt x="47625" y="28589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4611509"/>
                                </a:moveTo>
                                <a:lnTo>
                                  <a:pt x="2808465" y="4591050"/>
                                </a:lnTo>
                                <a:lnTo>
                                  <a:pt x="2801772" y="4591050"/>
                                </a:lnTo>
                                <a:lnTo>
                                  <a:pt x="2781300" y="4611509"/>
                                </a:lnTo>
                                <a:lnTo>
                                  <a:pt x="2781300" y="4615091"/>
                                </a:lnTo>
                                <a:lnTo>
                                  <a:pt x="2781300" y="4618215"/>
                                </a:lnTo>
                                <a:lnTo>
                                  <a:pt x="2801772" y="4638675"/>
                                </a:lnTo>
                                <a:lnTo>
                                  <a:pt x="2808465" y="4638675"/>
                                </a:lnTo>
                                <a:lnTo>
                                  <a:pt x="2828925" y="4618215"/>
                                </a:lnTo>
                                <a:lnTo>
                                  <a:pt x="2828925" y="4611509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2315997"/>
                                </a:moveTo>
                                <a:lnTo>
                                  <a:pt x="2808465" y="2295525"/>
                                </a:lnTo>
                                <a:lnTo>
                                  <a:pt x="2801772" y="2295525"/>
                                </a:lnTo>
                                <a:lnTo>
                                  <a:pt x="2781300" y="2315997"/>
                                </a:lnTo>
                                <a:lnTo>
                                  <a:pt x="2781300" y="2319566"/>
                                </a:lnTo>
                                <a:lnTo>
                                  <a:pt x="2781300" y="2322690"/>
                                </a:lnTo>
                                <a:lnTo>
                                  <a:pt x="2801772" y="2343150"/>
                                </a:lnTo>
                                <a:lnTo>
                                  <a:pt x="2808465" y="2343150"/>
                                </a:lnTo>
                                <a:lnTo>
                                  <a:pt x="2828925" y="2322690"/>
                                </a:lnTo>
                                <a:lnTo>
                                  <a:pt x="2828925" y="23159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6002159"/>
                                </a:moveTo>
                                <a:lnTo>
                                  <a:pt x="2979915" y="5981700"/>
                                </a:lnTo>
                                <a:lnTo>
                                  <a:pt x="2973222" y="5981700"/>
                                </a:lnTo>
                                <a:lnTo>
                                  <a:pt x="2952750" y="6002159"/>
                                </a:lnTo>
                                <a:lnTo>
                                  <a:pt x="2952750" y="6005741"/>
                                </a:lnTo>
                                <a:lnTo>
                                  <a:pt x="2952750" y="6008865"/>
                                </a:lnTo>
                                <a:lnTo>
                                  <a:pt x="2973222" y="6029325"/>
                                </a:lnTo>
                                <a:lnTo>
                                  <a:pt x="2979915" y="6029325"/>
                                </a:lnTo>
                                <a:lnTo>
                                  <a:pt x="3000375" y="6008865"/>
                                </a:lnTo>
                                <a:lnTo>
                                  <a:pt x="3000375" y="6002159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5506859"/>
                                </a:moveTo>
                                <a:lnTo>
                                  <a:pt x="2979915" y="5486400"/>
                                </a:lnTo>
                                <a:lnTo>
                                  <a:pt x="2973222" y="5486400"/>
                                </a:lnTo>
                                <a:lnTo>
                                  <a:pt x="2952750" y="5506859"/>
                                </a:lnTo>
                                <a:lnTo>
                                  <a:pt x="2952750" y="5510441"/>
                                </a:lnTo>
                                <a:lnTo>
                                  <a:pt x="2952750" y="5513565"/>
                                </a:lnTo>
                                <a:lnTo>
                                  <a:pt x="2973222" y="5534025"/>
                                </a:lnTo>
                                <a:lnTo>
                                  <a:pt x="2979915" y="5534025"/>
                                </a:lnTo>
                                <a:lnTo>
                                  <a:pt x="3000375" y="5513565"/>
                                </a:lnTo>
                                <a:lnTo>
                                  <a:pt x="3000375" y="5506859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5021084"/>
                                </a:moveTo>
                                <a:lnTo>
                                  <a:pt x="2979915" y="5000625"/>
                                </a:lnTo>
                                <a:lnTo>
                                  <a:pt x="2973222" y="5000625"/>
                                </a:lnTo>
                                <a:lnTo>
                                  <a:pt x="2952750" y="5021084"/>
                                </a:lnTo>
                                <a:lnTo>
                                  <a:pt x="2952750" y="5024666"/>
                                </a:lnTo>
                                <a:lnTo>
                                  <a:pt x="2952750" y="5027790"/>
                                </a:lnTo>
                                <a:lnTo>
                                  <a:pt x="2973222" y="5048250"/>
                                </a:lnTo>
                                <a:lnTo>
                                  <a:pt x="2979915" y="5048250"/>
                                </a:lnTo>
                                <a:lnTo>
                                  <a:pt x="3000375" y="5027790"/>
                                </a:lnTo>
                                <a:lnTo>
                                  <a:pt x="3000375" y="5021084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4201947"/>
                                </a:moveTo>
                                <a:lnTo>
                                  <a:pt x="2979915" y="4181475"/>
                                </a:lnTo>
                                <a:lnTo>
                                  <a:pt x="2973222" y="4181475"/>
                                </a:lnTo>
                                <a:lnTo>
                                  <a:pt x="2952750" y="4201947"/>
                                </a:lnTo>
                                <a:lnTo>
                                  <a:pt x="2952750" y="4205516"/>
                                </a:lnTo>
                                <a:lnTo>
                                  <a:pt x="2952750" y="4208640"/>
                                </a:lnTo>
                                <a:lnTo>
                                  <a:pt x="2973222" y="4229100"/>
                                </a:lnTo>
                                <a:lnTo>
                                  <a:pt x="2979915" y="4229100"/>
                                </a:lnTo>
                                <a:lnTo>
                                  <a:pt x="3000375" y="4208640"/>
                                </a:lnTo>
                                <a:lnTo>
                                  <a:pt x="3000375" y="42019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3706647"/>
                                </a:moveTo>
                                <a:lnTo>
                                  <a:pt x="2979915" y="3686175"/>
                                </a:lnTo>
                                <a:lnTo>
                                  <a:pt x="2973222" y="3686175"/>
                                </a:lnTo>
                                <a:lnTo>
                                  <a:pt x="2952750" y="3706647"/>
                                </a:lnTo>
                                <a:lnTo>
                                  <a:pt x="2952750" y="3710216"/>
                                </a:lnTo>
                                <a:lnTo>
                                  <a:pt x="2952750" y="3713340"/>
                                </a:lnTo>
                                <a:lnTo>
                                  <a:pt x="2973222" y="3733800"/>
                                </a:lnTo>
                                <a:lnTo>
                                  <a:pt x="2979915" y="3733800"/>
                                </a:lnTo>
                                <a:lnTo>
                                  <a:pt x="3000375" y="3713340"/>
                                </a:lnTo>
                                <a:lnTo>
                                  <a:pt x="3000375" y="37066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3211347"/>
                                </a:moveTo>
                                <a:lnTo>
                                  <a:pt x="2979915" y="3190875"/>
                                </a:lnTo>
                                <a:lnTo>
                                  <a:pt x="2973222" y="3190875"/>
                                </a:lnTo>
                                <a:lnTo>
                                  <a:pt x="2952750" y="3211347"/>
                                </a:lnTo>
                                <a:lnTo>
                                  <a:pt x="2952750" y="3214916"/>
                                </a:lnTo>
                                <a:lnTo>
                                  <a:pt x="2952750" y="3218040"/>
                                </a:lnTo>
                                <a:lnTo>
                                  <a:pt x="2973222" y="3238500"/>
                                </a:lnTo>
                                <a:lnTo>
                                  <a:pt x="2979915" y="3238500"/>
                                </a:lnTo>
                                <a:lnTo>
                                  <a:pt x="3000375" y="3218040"/>
                                </a:lnTo>
                                <a:lnTo>
                                  <a:pt x="3000375" y="32113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2725572"/>
                                </a:moveTo>
                                <a:lnTo>
                                  <a:pt x="2979915" y="2705100"/>
                                </a:lnTo>
                                <a:lnTo>
                                  <a:pt x="2973222" y="2705100"/>
                                </a:lnTo>
                                <a:lnTo>
                                  <a:pt x="2952750" y="2725572"/>
                                </a:lnTo>
                                <a:lnTo>
                                  <a:pt x="2952750" y="2729141"/>
                                </a:lnTo>
                                <a:lnTo>
                                  <a:pt x="2952750" y="2732265"/>
                                </a:lnTo>
                                <a:lnTo>
                                  <a:pt x="2973222" y="2752725"/>
                                </a:lnTo>
                                <a:lnTo>
                                  <a:pt x="2979915" y="2752725"/>
                                </a:lnTo>
                                <a:lnTo>
                                  <a:pt x="3000375" y="2732265"/>
                                </a:lnTo>
                                <a:lnTo>
                                  <a:pt x="3000375" y="27255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1763547"/>
                                </a:moveTo>
                                <a:lnTo>
                                  <a:pt x="2979915" y="1743075"/>
                                </a:lnTo>
                                <a:lnTo>
                                  <a:pt x="2973222" y="1743075"/>
                                </a:lnTo>
                                <a:lnTo>
                                  <a:pt x="2952750" y="1763547"/>
                                </a:lnTo>
                                <a:lnTo>
                                  <a:pt x="2952750" y="1767116"/>
                                </a:lnTo>
                                <a:lnTo>
                                  <a:pt x="2952750" y="1770240"/>
                                </a:lnTo>
                                <a:lnTo>
                                  <a:pt x="2973222" y="1790700"/>
                                </a:lnTo>
                                <a:lnTo>
                                  <a:pt x="2979915" y="1790700"/>
                                </a:lnTo>
                                <a:lnTo>
                                  <a:pt x="3000375" y="1770240"/>
                                </a:lnTo>
                                <a:lnTo>
                                  <a:pt x="3000375" y="17635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1411122"/>
                                </a:moveTo>
                                <a:lnTo>
                                  <a:pt x="2979915" y="1390650"/>
                                </a:lnTo>
                                <a:lnTo>
                                  <a:pt x="2973222" y="1390650"/>
                                </a:lnTo>
                                <a:lnTo>
                                  <a:pt x="2952750" y="1411122"/>
                                </a:lnTo>
                                <a:lnTo>
                                  <a:pt x="2952750" y="1414691"/>
                                </a:lnTo>
                                <a:lnTo>
                                  <a:pt x="2952750" y="1417815"/>
                                </a:lnTo>
                                <a:lnTo>
                                  <a:pt x="2973222" y="1438275"/>
                                </a:lnTo>
                                <a:lnTo>
                                  <a:pt x="2979915" y="1438275"/>
                                </a:lnTo>
                                <a:lnTo>
                                  <a:pt x="3000375" y="1417815"/>
                                </a:lnTo>
                                <a:lnTo>
                                  <a:pt x="3000375" y="14111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921410"/>
                                </a:moveTo>
                                <a:lnTo>
                                  <a:pt x="2983852" y="904875"/>
                                </a:lnTo>
                                <a:lnTo>
                                  <a:pt x="2969285" y="904875"/>
                                </a:lnTo>
                                <a:lnTo>
                                  <a:pt x="2952750" y="921410"/>
                                </a:lnTo>
                                <a:lnTo>
                                  <a:pt x="2952750" y="923925"/>
                                </a:lnTo>
                                <a:lnTo>
                                  <a:pt x="2952750" y="926452"/>
                                </a:lnTo>
                                <a:lnTo>
                                  <a:pt x="2969285" y="942975"/>
                                </a:lnTo>
                                <a:lnTo>
                                  <a:pt x="2983852" y="942975"/>
                                </a:lnTo>
                                <a:lnTo>
                                  <a:pt x="3000375" y="926452"/>
                                </a:lnTo>
                                <a:lnTo>
                                  <a:pt x="3000375" y="921410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8544" id="docshapegroup1" coordorigin="0,0" coordsize="11919,16860">
                <v:shape style="position:absolute;left:0;top:2610;width:4065;height:14250" id="docshape2" coordorigin="0,2610" coordsize="4065,14250" path="m4065,9915l0,9915,0,16860,4065,16860,4065,9915xm4065,7500l0,7500,0,9420,4065,942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86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9420;width:4245;height:495" id="docshape15" filled="true" fillcolor="#f2f2f2" stroked="false">
                  <v:fill type="solid"/>
                </v:rect>
                <v:shape style="position:absolute;left:0;top:9420;width:4245;height:495" id="docshape16" coordorigin="0,9420" coordsize="4245,495" path="m4245,9420l4230,9420,0,9420,0,9435,4230,9435,4230,9900,0,9900,0,9915,4230,9915,4245,9915,4245,9420xe" filled="true" fillcolor="#000000" stroked="false">
                  <v:path arrowok="t"/>
                  <v:fill opacity="16960f" type="solid"/>
                </v:shape>
                <v:shape style="position:absolute;left:4065;top:9900;width:180;height:315" id="docshape17" coordorigin="4065,9900" coordsize="180,315" path="m4065,10215l4065,9900,4245,9900,4065,10215xe" filled="true" fillcolor="#999999" stroked="false">
                  <v:path arrowok="t"/>
                  <v:fill type="solid"/>
                </v:shape>
                <v:shape style="position:absolute;left:404;top:5715;width:4725;height:9495" id="docshape18" coordorigin="405,5715" coordsize="4725,9495" path="m480,13097l479,13092,475,13083,473,13079,466,13072,462,13070,453,13066,448,13065,437,13065,432,13066,423,13070,419,13072,412,13079,410,13083,406,13092,405,13097,405,13103,405,13108,406,13113,410,13122,412,13126,419,13133,423,13135,432,13139,437,13140,448,13140,453,13139,462,13135,466,13133,473,13126,475,13122,479,13113,480,13108,480,13097xm480,12782l479,12777,475,12768,473,12764,466,12757,462,12755,453,12751,448,12750,437,12750,432,12751,423,12755,419,12757,412,12764,410,12768,406,12777,405,12782,405,12788,405,12793,406,12798,410,12807,412,12811,419,12818,423,12820,432,12824,437,12825,448,12825,453,12824,462,12820,466,12818,473,12811,475,12807,479,12798,480,12793,480,12782xm480,12452l479,12447,475,12438,473,12434,466,12427,462,12425,453,12421,448,12420,437,12420,432,12421,423,12425,419,12427,412,12434,410,12438,406,12447,405,12452,405,12458,405,12463,406,12468,410,12477,412,12481,419,12488,423,12490,432,12494,437,12495,448,12495,453,12494,462,12490,466,12488,473,12481,475,12477,479,12468,480,12463,480,12452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492l479,11487,475,11478,473,11474,466,11467,462,11465,453,11461,448,11460,437,11460,432,11461,423,11465,419,11467,412,11474,410,11478,406,11487,405,11492,405,11498,405,11503,406,11508,410,11517,412,11521,419,11528,423,11530,432,11534,437,11535,448,11535,453,11534,462,11530,466,11528,473,11521,475,11517,479,11508,480,11503,480,11492xm480,11177l479,11172,475,11163,473,11159,466,11152,462,11150,453,11146,448,11145,437,11145,432,11146,423,11150,419,11152,412,11159,410,11163,406,11172,405,11177,405,11183,405,11188,406,11193,410,11202,412,11206,419,11213,423,11215,432,11219,437,11220,448,11220,453,11219,462,11215,466,11213,473,11206,475,11202,479,11193,480,11188,480,11177xm480,10847l479,10842,475,10833,473,10829,466,10822,462,10820,453,10816,448,10815,437,10815,432,10816,423,10820,419,10822,412,10829,410,10833,406,10842,405,10847,405,10853,405,10858,406,10863,410,10872,412,10876,419,10883,423,10885,432,10889,437,10890,448,10890,453,10889,462,10885,466,10883,473,10876,475,10872,479,10863,480,10858,480,10847xm480,10532l479,10527,475,10518,473,10514,466,10507,462,10505,453,10501,448,10500,437,10500,432,10501,423,10505,419,10507,412,10514,410,10518,406,10527,405,10532,405,10538,405,10543,406,10548,410,10557,412,10561,419,10568,423,10570,432,10574,437,10575,448,10575,453,10574,462,10570,466,10568,473,10561,475,10557,479,10548,480,10543,480,10532xm480,10217l479,10212,475,10203,473,10199,466,10192,462,10190,453,10186,448,10185,437,10185,432,10186,423,10190,419,10192,412,10199,410,10203,406,10212,405,10217,405,10223,405,10228,406,10233,410,10242,412,10246,419,10253,423,10255,432,10259,437,10260,448,10260,453,10259,462,10255,466,10253,473,10246,475,10242,479,10233,480,10228,480,10217xm4860,12977l4859,12972,4855,12963,4853,12959,4846,12952,4842,12950,4833,12946,4828,12945,4817,12945,4812,12946,4803,12950,4799,12952,4792,12959,4790,12963,4786,12972,4785,12977,4785,12983,4785,12988,4786,12993,4790,13002,4792,13006,4799,13013,4803,13015,4812,13019,4817,13020,4828,13020,4833,13019,4842,13015,4846,13013,4853,13006,4855,13002,4859,12993,4860,12988,4860,12977xm4860,9362l4859,9357,4855,9348,4853,9344,4846,9337,4842,9335,4833,9331,4828,9330,4817,9330,4812,9331,4803,9335,4799,9337,4792,9344,4790,9348,4786,9357,4785,9362,4785,9368,4785,9373,4786,9378,4790,9387,4792,9391,4799,9398,4803,9400,4812,9404,4817,9405,4828,9405,4833,9404,4842,9400,4846,9398,4853,9391,4855,9387,4859,9378,4860,9373,4860,9362xm4860,5747l4859,5742,4855,5733,4853,5729,4846,5722,4842,5720,4833,5716,4828,5715,4817,5715,4812,5716,4803,5720,4799,5722,4792,5729,4790,5733,4786,5742,4785,5747,4785,5753,4785,5758,4786,5763,4790,5772,4792,5776,4799,5783,4803,5785,4812,5789,4817,5790,4828,5790,4833,5789,4842,5785,4846,5783,4853,5776,4855,5772,4859,5763,4860,5758,4860,5747xm5130,15167l5129,15162,5125,15153,5123,15149,5116,15142,5112,15140,5103,15136,5098,15135,5087,15135,5082,15136,5073,15140,5069,15142,5062,15149,5060,15153,5056,15162,5055,15167,5055,15173,5055,15178,5056,15183,5060,15192,5062,15196,5069,15203,5073,15205,5082,15209,5087,15210,5098,15210,5103,15209,5112,15205,5116,15203,5123,15196,5125,15192,5129,15183,5130,15178,5130,15167xm5130,14387l5129,14382,5125,14373,5123,14369,5116,14362,5112,14360,5103,14356,5098,14355,5087,14355,5082,14356,5073,14360,5069,14362,5062,14369,5060,14373,5056,14382,5055,14387,5055,14393,5055,14398,5056,14403,5060,14412,5062,14416,5069,14423,5073,14425,5082,14429,5087,14430,5098,14430,5103,14429,5112,14425,5116,14423,5123,14416,5125,14412,5129,14403,5130,14398,5130,14387xm5130,13622l5129,13617,5125,13608,5123,13604,5116,13597,5112,13595,5103,13591,5098,13590,5087,13590,5082,13591,5073,13595,5069,13597,5062,13604,5060,13608,5056,13617,5055,13622,5055,13628,5055,13633,5056,13638,5060,13647,5062,13651,5069,13658,5073,13660,5082,13664,5087,13665,5098,13665,5103,13664,5112,13660,5116,13658,5123,13651,5125,13647,5129,13638,5130,13633,5130,13622xm5130,12332l5129,12327,5125,12318,5123,12314,5116,12307,5112,12305,5103,12301,5098,12300,5087,12300,5082,12301,5073,12305,5069,12307,5062,12314,5060,12318,5056,12327,5055,12332,5055,12338,5055,12343,5056,12348,5060,12357,5062,12361,5069,12368,5073,12370,5082,12374,5087,12375,5098,12375,5103,12374,5112,12370,5116,12368,5123,12361,5125,12357,5129,12348,5130,12343,5130,12332xm5130,11552l5129,11547,5125,11538,5123,11534,5116,11527,5112,11525,5103,11521,5098,11520,5087,11520,5082,11521,5073,11525,5069,11527,5062,11534,5060,11538,5056,11547,5055,11552,5055,11558,5055,11563,5056,11568,5060,11577,5062,11581,5069,11588,5073,11590,5082,11594,5087,11595,5098,11595,5103,11594,5112,11590,5116,11588,5123,11581,5125,11577,5129,11568,5130,11563,5130,11552xm5130,10772l5129,10767,5125,10758,5123,10754,5116,10747,5112,10745,5103,10741,5098,10740,5087,10740,5082,10741,5073,10745,5069,10747,5062,10754,5060,10758,5056,10767,5055,10772,5055,10778,5055,10783,5056,10788,5060,10797,5062,10801,5069,10808,5073,10810,5082,10814,5087,10815,5098,10815,5103,10814,5112,10810,5116,10808,5123,10801,5125,10797,5129,10788,5130,10783,5130,10772xm5130,10007l5129,10002,5125,9993,5123,9989,5116,9982,5112,9980,5103,9976,5098,9975,5087,9975,5082,9976,5073,9980,5069,9982,5062,9989,5060,9993,5056,10002,5055,10007,5055,10013,5055,10018,5056,10023,5060,10032,5062,10036,5069,10043,5073,10045,5082,10049,5087,10050,5098,10050,5103,10049,5112,10045,5116,10043,5123,10036,5125,10032,5129,10023,5130,10018,5130,10007xm5130,8492l5129,8487,5125,8478,5123,8474,5116,8467,5112,8465,5103,8461,5098,8460,5087,8460,5082,8461,5073,8465,5069,8467,5062,8474,5060,8478,5056,8487,5055,8492,5055,8498,5055,8503,5056,8508,5060,8517,5062,8521,5069,8528,5073,8530,5082,8534,5087,8535,5098,8535,5103,8534,5112,8530,5116,8528,5123,8521,5125,8517,5129,8508,5130,8503,5130,8492xm5130,7937l5129,7932,5125,7923,5123,7919,5116,7912,5112,7910,5103,7906,5098,7905,5087,7905,5082,7906,5073,7910,5069,7912,5062,7919,5060,7923,5056,7932,5055,7937,5055,7943,5055,7948,5056,7953,5060,7962,5062,7966,5069,7973,5073,7975,5082,7979,5087,7980,5098,7980,5103,7979,5112,7975,5116,7973,5123,7966,5125,7962,5129,7953,5130,7948,5130,7937xm5130,7166l5129,7162,5126,7155,5124,7152,5118,7146,5115,7144,5108,7141,5104,7140,5081,7140,5077,7141,5070,7144,5067,7146,5061,7152,5059,7155,5056,7162,5055,7166,5055,7170,5055,7174,5056,7178,5059,7185,5061,7188,5067,7194,5070,7196,5077,7199,5081,7200,5104,7200,5108,7199,5115,7196,5118,7194,5124,7188,5126,7185,5129,7178,5130,7174,5130,7166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92" w:lineRule="auto"/>
        <w:ind w:left="5074" w:right="740"/>
      </w:pPr>
      <w:r>
        <w:rPr>
          <w:w w:val="105"/>
        </w:rPr>
        <w:t>Managed</w:t>
      </w:r>
      <w:r>
        <w:rPr>
          <w:spacing w:val="29"/>
          <w:w w:val="105"/>
        </w:rPr>
        <w:t> </w:t>
      </w:r>
      <w:r>
        <w:rPr>
          <w:w w:val="105"/>
        </w:rPr>
        <w:t>5</w:t>
      </w:r>
      <w:r>
        <w:rPr>
          <w:spacing w:val="29"/>
          <w:w w:val="105"/>
        </w:rPr>
        <w:t> </w:t>
      </w:r>
      <w:r>
        <w:rPr>
          <w:w w:val="105"/>
        </w:rPr>
        <w:t>due</w:t>
      </w:r>
      <w:r>
        <w:rPr>
          <w:spacing w:val="29"/>
          <w:w w:val="105"/>
        </w:rPr>
        <w:t> </w:t>
      </w:r>
      <w:r>
        <w:rPr>
          <w:w w:val="105"/>
        </w:rPr>
        <w:t>diligence</w:t>
      </w:r>
      <w:r>
        <w:rPr>
          <w:spacing w:val="29"/>
          <w:w w:val="105"/>
        </w:rPr>
        <w:t> </w:t>
      </w:r>
      <w:r>
        <w:rPr>
          <w:w w:val="105"/>
        </w:rPr>
        <w:t>workstreams</w:t>
      </w:r>
      <w:r>
        <w:rPr>
          <w:spacing w:val="29"/>
          <w:w w:val="105"/>
        </w:rPr>
        <w:t> </w:t>
      </w:r>
      <w:r>
        <w:rPr>
          <w:w w:val="105"/>
        </w:rPr>
        <w:t>including</w:t>
      </w:r>
      <w:r>
        <w:rPr>
          <w:spacing w:val="29"/>
          <w:w w:val="105"/>
        </w:rPr>
        <w:t> </w:t>
      </w:r>
      <w:r>
        <w:rPr>
          <w:w w:val="105"/>
        </w:rPr>
        <w:t>quality</w:t>
      </w:r>
      <w:r>
        <w:rPr>
          <w:spacing w:val="29"/>
          <w:w w:val="105"/>
        </w:rPr>
        <w:t> </w:t>
      </w:r>
      <w:r>
        <w:rPr>
          <w:w w:val="105"/>
        </w:rPr>
        <w:t>of</w:t>
      </w:r>
      <w:r>
        <w:rPr>
          <w:spacing w:val="29"/>
          <w:w w:val="105"/>
        </w:rPr>
        <w:t> </w:t>
      </w:r>
      <w:r>
        <w:rPr>
          <w:w w:val="105"/>
        </w:rPr>
        <w:t>earnings,</w:t>
      </w:r>
      <w:r>
        <w:rPr>
          <w:spacing w:val="29"/>
          <w:w w:val="105"/>
        </w:rPr>
        <w:t> </w:t>
      </w:r>
      <w:r>
        <w:rPr>
          <w:w w:val="105"/>
        </w:rPr>
        <w:t>IT infrastructure, and customer concentration for a $67.4M add-on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acquisition.</w:t>
      </w:r>
    </w:p>
    <w:p>
      <w:pPr>
        <w:pStyle w:val="BodyText"/>
        <w:spacing w:line="302" w:lineRule="auto" w:before="92"/>
        <w:ind w:left="5074" w:right="517"/>
      </w:pPr>
      <w:r>
        <w:rPr>
          <w:w w:val="105"/>
        </w:rPr>
        <w:t>Screened 74 potential investments using Bloomberg and Excel, preparing</w:t>
      </w:r>
      <w:r>
        <w:rPr>
          <w:spacing w:val="80"/>
          <w:w w:val="105"/>
        </w:rPr>
        <w:t> </w:t>
      </w:r>
      <w:r>
        <w:rPr>
          <w:w w:val="105"/>
        </w:rPr>
        <w:t>one-page summaries with preliminary valuation ranges within 3 days of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receipt.</w:t>
      </w:r>
    </w:p>
    <w:p>
      <w:pPr>
        <w:pStyle w:val="BodyText"/>
        <w:spacing w:line="302" w:lineRule="auto" w:before="84"/>
        <w:ind w:left="5074" w:right="376"/>
      </w:pPr>
      <w:r>
        <w:rPr>
          <w:w w:val="105"/>
        </w:rPr>
        <w:t>Supported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portfolio</w:t>
      </w:r>
      <w:r>
        <w:rPr>
          <w:spacing w:val="40"/>
          <w:w w:val="105"/>
        </w:rPr>
        <w:t> </w:t>
      </w:r>
      <w:r>
        <w:rPr>
          <w:w w:val="105"/>
        </w:rPr>
        <w:t>exit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realized</w:t>
      </w:r>
      <w:r>
        <w:rPr>
          <w:spacing w:val="40"/>
          <w:w w:val="105"/>
        </w:rPr>
        <w:t> </w:t>
      </w:r>
      <w:r>
        <w:rPr>
          <w:w w:val="105"/>
        </w:rPr>
        <w:t>$44.6M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gross</w:t>
      </w:r>
      <w:r>
        <w:rPr>
          <w:spacing w:val="40"/>
          <w:w w:val="105"/>
        </w:rPr>
        <w:t> </w:t>
      </w:r>
      <w:r>
        <w:rPr>
          <w:w w:val="105"/>
        </w:rPr>
        <w:t>divestiture proceeds,</w:t>
      </w:r>
      <w:r>
        <w:rPr>
          <w:spacing w:val="33"/>
          <w:w w:val="105"/>
        </w:rPr>
        <w:t> </w:t>
      </w:r>
      <w:r>
        <w:rPr>
          <w:w w:val="105"/>
        </w:rPr>
        <w:t>coordinating</w:t>
      </w:r>
      <w:r>
        <w:rPr>
          <w:spacing w:val="33"/>
          <w:w w:val="105"/>
        </w:rPr>
        <w:t> </w:t>
      </w:r>
      <w:r>
        <w:rPr>
          <w:w w:val="105"/>
        </w:rPr>
        <w:t>buyer</w:t>
      </w:r>
      <w:r>
        <w:rPr>
          <w:spacing w:val="33"/>
          <w:w w:val="105"/>
        </w:rPr>
        <w:t> </w:t>
      </w:r>
      <w:r>
        <w:rPr>
          <w:w w:val="105"/>
        </w:rPr>
        <w:t>outreach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data</w:t>
      </w:r>
      <w:r>
        <w:rPr>
          <w:spacing w:val="33"/>
          <w:w w:val="105"/>
        </w:rPr>
        <w:t> </w:t>
      </w:r>
      <w:r>
        <w:rPr>
          <w:w w:val="105"/>
        </w:rPr>
        <w:t>room</w:t>
      </w:r>
      <w:r>
        <w:rPr>
          <w:spacing w:val="33"/>
          <w:w w:val="105"/>
        </w:rPr>
        <w:t> </w:t>
      </w:r>
      <w:r>
        <w:rPr>
          <w:w w:val="105"/>
        </w:rPr>
        <w:t>management</w:t>
      </w:r>
      <w:r>
        <w:rPr>
          <w:spacing w:val="33"/>
          <w:w w:val="105"/>
        </w:rPr>
        <w:t> </w:t>
      </w:r>
      <w:r>
        <w:rPr>
          <w:w w:val="105"/>
        </w:rPr>
        <w:t>across a 91-day process.</w:t>
      </w:r>
    </w:p>
    <w:p>
      <w:pPr>
        <w:pStyle w:val="BodyText"/>
        <w:spacing w:before="72"/>
        <w:rPr>
          <w:sz w:val="20"/>
        </w:rPr>
      </w:pPr>
    </w:p>
    <w:p>
      <w:pPr>
        <w:pStyle w:val="Heading2"/>
        <w:ind w:left="4096" w:right="5217"/>
        <w:jc w:val="center"/>
      </w:pPr>
      <w:r>
        <w:rPr>
          <w:color w:val="424242"/>
          <w:spacing w:val="-2"/>
        </w:rPr>
        <w:t>CERTIFICATIONS</w:t>
      </w:r>
    </w:p>
    <w:p>
      <w:pPr>
        <w:pStyle w:val="Heading2"/>
        <w:spacing w:after="0"/>
        <w:jc w:val="center"/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29152" id="docshape19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120"/>
        <w:rPr>
          <w:b/>
        </w:rPr>
      </w:pPr>
    </w:p>
    <w:p>
      <w:pPr>
        <w:pStyle w:val="BodyText"/>
        <w:tabs>
          <w:tab w:pos="4795" w:val="left" w:leader="none"/>
        </w:tabs>
        <w:ind w:left="4501"/>
      </w:pPr>
      <w:r>
        <w:rPr/>
        <w:drawing>
          <wp:inline distT="0" distB="0" distL="0" distR="0">
            <wp:extent cx="47624" cy="47623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Chartered</w:t>
      </w:r>
      <w:r>
        <w:rPr>
          <w:spacing w:val="12"/>
          <w:w w:val="105"/>
        </w:rPr>
        <w:t> </w:t>
      </w:r>
      <w:r>
        <w:rPr>
          <w:w w:val="105"/>
        </w:rPr>
        <w:t>Alternative</w:t>
      </w:r>
      <w:r>
        <w:rPr>
          <w:spacing w:val="26"/>
          <w:w w:val="105"/>
        </w:rPr>
        <w:t> </w:t>
      </w:r>
      <w:r>
        <w:rPr>
          <w:w w:val="105"/>
        </w:rPr>
        <w:t>Investment</w:t>
      </w:r>
      <w:r>
        <w:rPr>
          <w:spacing w:val="13"/>
          <w:w w:val="105"/>
        </w:rPr>
        <w:t> </w:t>
      </w:r>
      <w:r>
        <w:rPr>
          <w:w w:val="105"/>
        </w:rPr>
        <w:t>Analyst,</w:t>
      </w:r>
      <w:r>
        <w:rPr>
          <w:spacing w:val="25"/>
          <w:w w:val="105"/>
        </w:rPr>
        <w:t> </w:t>
      </w:r>
      <w:r>
        <w:rPr>
          <w:w w:val="105"/>
        </w:rPr>
        <w:t>CAIA Association,</w:t>
      </w:r>
      <w:r>
        <w:rPr>
          <w:spacing w:val="26"/>
          <w:w w:val="105"/>
        </w:rPr>
        <w:t> </w:t>
      </w:r>
      <w:r>
        <w:rPr>
          <w:spacing w:val="-4"/>
          <w:w w:val="105"/>
        </w:rPr>
        <w:t>2019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30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ei.landr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2026-10-08T10:47:51Z</dcterms:created>
  <dcterms:modified xsi:type="dcterms:W3CDTF">2026-10-08T10:47:51Z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