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46" w:right="13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Colin</w:t>
      </w:r>
      <w:r>
        <w:rPr>
          <w:color w:val="664EA6"/>
          <w:spacing w:val="31"/>
          <w:sz w:val="74"/>
        </w:rPr>
        <w:t> </w:t>
      </w:r>
      <w:r>
        <w:rPr>
          <w:b/>
          <w:color w:val="664EA6"/>
          <w:spacing w:val="10"/>
          <w:sz w:val="74"/>
        </w:rPr>
        <w:t>Boateng</w:t>
      </w:r>
    </w:p>
    <w:p>
      <w:pPr>
        <w:spacing w:before="195"/>
        <w:ind w:left="4292" w:right="0" w:firstLine="0"/>
        <w:jc w:val="center"/>
        <w:rPr>
          <w:sz w:val="20"/>
        </w:rPr>
      </w:pPr>
      <w:r>
        <w:rPr>
          <w:color w:val="664EA6"/>
          <w:sz w:val="20"/>
        </w:rPr>
        <w:t>V</w:t>
      </w:r>
      <w:r>
        <w:rPr>
          <w:color w:val="664EA6"/>
          <w:spacing w:val="1"/>
          <w:sz w:val="20"/>
        </w:rPr>
        <w:t> </w:t>
      </w:r>
      <w:r>
        <w:rPr>
          <w:color w:val="664EA6"/>
          <w:sz w:val="20"/>
        </w:rPr>
        <w:t>P</w:t>
      </w:r>
      <w:r>
        <w:rPr>
          <w:color w:val="664EA6"/>
          <w:spacing w:val="29"/>
          <w:sz w:val="20"/>
        </w:rPr>
        <w:t> 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F</w:t>
      </w:r>
      <w:r>
        <w:rPr>
          <w:color w:val="664EA6"/>
          <w:spacing w:val="30"/>
          <w:sz w:val="20"/>
        </w:rPr>
        <w:t>  </w:t>
      </w:r>
      <w:r>
        <w:rPr>
          <w:color w:val="664EA6"/>
          <w:sz w:val="20"/>
        </w:rPr>
        <w:t>S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1"/>
          <w:sz w:val="20"/>
        </w:rPr>
        <w:t> </w:t>
      </w:r>
      <w:r>
        <w:rPr>
          <w:color w:val="664EA6"/>
          <w:spacing w:val="-10"/>
          <w:sz w:val="20"/>
        </w:rPr>
        <w:t>S</w:t>
      </w:r>
    </w:p>
    <w:p>
      <w:pPr>
        <w:pStyle w:val="BodyText"/>
        <w:spacing w:before="159"/>
        <w:rPr>
          <w:sz w:val="20"/>
        </w:rPr>
      </w:pPr>
    </w:p>
    <w:p>
      <w:pPr>
        <w:spacing w:line="273" w:lineRule="auto" w:before="0"/>
        <w:ind w:left="4346" w:right="0" w:firstLine="0"/>
        <w:jc w:val="center"/>
        <w:rPr>
          <w:sz w:val="18"/>
        </w:rPr>
      </w:pPr>
      <w:r>
        <w:rPr>
          <w:w w:val="105"/>
          <w:sz w:val="18"/>
        </w:rPr>
        <w:t>B2B sales leader with 7 years of experience managing SDR teams, pipeline reviews, and pricing strategy across multi-account portfolios. Maintained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customer retention rate of 92.3% across 117 B2B accounts by monitoring purchasing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preferences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quarterly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adjusting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renewal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pricing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schedules.</w:t>
      </w:r>
    </w:p>
    <w:p>
      <w:pPr>
        <w:spacing w:line="193" w:lineRule="exact" w:before="0"/>
        <w:ind w:left="4346" w:right="2" w:firstLine="0"/>
        <w:jc w:val="center"/>
        <w:rPr>
          <w:sz w:val="18"/>
        </w:rPr>
      </w:pPr>
      <w:r>
        <w:rPr>
          <w:w w:val="105"/>
          <w:sz w:val="18"/>
        </w:rPr>
        <w:t>Skilled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Salesforce,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ZoomInfo,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channel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partner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enablement.</w:t>
      </w:r>
    </w:p>
    <w:p>
      <w:pPr>
        <w:pStyle w:val="BodyText"/>
        <w:rPr>
          <w:sz w:val="20"/>
        </w:rPr>
      </w:pPr>
    </w:p>
    <w:p>
      <w:pPr>
        <w:pStyle w:val="BodyText"/>
        <w:spacing w:before="7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566"/>
        </w:sectPr>
      </w:pPr>
    </w:p>
    <w:p>
      <w:pPr>
        <w:pStyle w:val="Heading1"/>
        <w:spacing w:before="147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664EA6"/>
          <w:sz w:val="26"/>
        </w:rPr>
        <w:t>PROFESSIONAL</w:t>
      </w:r>
      <w:r>
        <w:rPr>
          <w:b/>
          <w:color w:val="664EA6"/>
          <w:spacing w:val="-5"/>
          <w:sz w:val="26"/>
        </w:rPr>
        <w:t> </w:t>
      </w:r>
      <w:r>
        <w:rPr>
          <w:b/>
          <w:color w:val="664EA6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860" w:bottom="280" w:left="425" w:right="566"/>
          <w:cols w:num="2" w:equalWidth="0">
            <w:col w:w="3221" w:space="703"/>
            <w:col w:w="7005"/>
          </w:cols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60" w:bottom="280" w:left="425" w:right="566"/>
        </w:sectPr>
      </w:pPr>
    </w:p>
    <w:p>
      <w:pPr>
        <w:pStyle w:val="BodyText"/>
        <w:spacing w:before="44"/>
        <w:rPr>
          <w:b/>
        </w:rPr>
      </w:pPr>
    </w:p>
    <w:p>
      <w:pPr>
        <w:pStyle w:val="BodyText"/>
        <w:ind w:left="839"/>
      </w:pPr>
      <w:r>
        <w:rPr>
          <w:spacing w:val="-2"/>
          <w:w w:val="105"/>
        </w:rPr>
        <w:t>(860)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0125</w:t>
      </w:r>
    </w:p>
    <w:p>
      <w:pPr>
        <w:spacing w:before="75"/>
        <w:ind w:left="839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VP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Sales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Naugatuck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Ridge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Solutions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Group,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Torrington,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CT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2023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566"/>
          <w:cols w:num="2" w:equalWidth="0">
            <w:col w:w="2024" w:space="1138"/>
            <w:col w:w="7767"/>
          </w:cols>
        </w:sectPr>
      </w:pP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colin.boateng@example.com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Torrington, CT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90"/>
        <w:ind w:left="653" w:right="1111"/>
      </w:pPr>
      <w:r>
        <w:rPr>
          <w:spacing w:val="-2"/>
          <w:w w:val="105"/>
        </w:rPr>
        <w:t>Salesforce ZoomInfo</w:t>
      </w:r>
    </w:p>
    <w:p>
      <w:pPr>
        <w:pStyle w:val="BodyText"/>
        <w:ind w:left="653"/>
      </w:pPr>
      <w:r>
        <w:rPr>
          <w:w w:val="105"/>
        </w:rPr>
        <w:t>B2B</w:t>
      </w:r>
      <w:r>
        <w:rPr>
          <w:spacing w:val="-7"/>
          <w:w w:val="105"/>
        </w:rPr>
        <w:t> </w:t>
      </w:r>
      <w:r>
        <w:rPr>
          <w:w w:val="105"/>
        </w:rPr>
        <w:t>Sales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Strategy</w:t>
      </w:r>
    </w:p>
    <w:p>
      <w:pPr>
        <w:pStyle w:val="BodyText"/>
        <w:spacing w:line="391" w:lineRule="auto" w:before="131"/>
        <w:ind w:left="653"/>
      </w:pPr>
      <w:r>
        <w:rPr>
          <w:w w:val="105"/>
        </w:rPr>
        <w:t>Forecasting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Pipeline</w:t>
      </w:r>
      <w:r>
        <w:rPr>
          <w:spacing w:val="-4"/>
          <w:w w:val="105"/>
        </w:rPr>
        <w:t> </w:t>
      </w:r>
      <w:r>
        <w:rPr>
          <w:w w:val="105"/>
        </w:rPr>
        <w:t>Reviews Pricing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Discount</w:t>
      </w:r>
      <w:r>
        <w:rPr>
          <w:spacing w:val="-11"/>
          <w:w w:val="105"/>
        </w:rPr>
        <w:t> </w:t>
      </w:r>
      <w:r>
        <w:rPr>
          <w:w w:val="105"/>
        </w:rPr>
        <w:t>Management Channel Partner Enablement Microsoft Excel</w:t>
      </w:r>
    </w:p>
    <w:p>
      <w:pPr>
        <w:pStyle w:val="BodyText"/>
        <w:spacing w:line="391" w:lineRule="auto" w:before="1"/>
        <w:ind w:left="653" w:right="919"/>
      </w:pPr>
      <w:r>
        <w:rPr>
          <w:w w:val="105"/>
        </w:rPr>
        <w:t>Sales</w:t>
      </w:r>
      <w:r>
        <w:rPr>
          <w:spacing w:val="-12"/>
          <w:w w:val="105"/>
        </w:rPr>
        <w:t> </w:t>
      </w:r>
      <w:r>
        <w:rPr>
          <w:w w:val="105"/>
        </w:rPr>
        <w:t>Training</w:t>
      </w:r>
      <w:r>
        <w:rPr>
          <w:spacing w:val="-12"/>
          <w:w w:val="105"/>
        </w:rPr>
        <w:t> </w:t>
      </w:r>
      <w:r>
        <w:rPr>
          <w:w w:val="105"/>
        </w:rPr>
        <w:t>Design KPI Reporting</w:t>
      </w:r>
    </w:p>
    <w:p>
      <w:pPr>
        <w:pStyle w:val="BodyText"/>
        <w:spacing w:before="15"/>
        <w:ind w:left="653"/>
      </w:pPr>
      <w:r>
        <w:rPr>
          <w:spacing w:val="-2"/>
          <w:w w:val="105"/>
        </w:rPr>
        <w:t>Account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Retention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Planning</w:t>
      </w:r>
    </w:p>
    <w:p>
      <w:pPr>
        <w:pStyle w:val="BodyText"/>
        <w:spacing w:line="273" w:lineRule="auto" w:before="161"/>
        <w:ind w:left="616" w:right="451"/>
        <w:jc w:val="both"/>
      </w:pPr>
      <w:r>
        <w:rPr/>
        <w:br w:type="column"/>
      </w:r>
      <w:r>
        <w:rPr>
          <w:w w:val="105"/>
        </w:rPr>
        <w:t>Raised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SDR-to-AE</w:t>
      </w:r>
      <w:r>
        <w:rPr>
          <w:spacing w:val="-3"/>
          <w:w w:val="105"/>
        </w:rPr>
        <w:t> </w:t>
      </w:r>
      <w:r>
        <w:rPr>
          <w:w w:val="105"/>
        </w:rPr>
        <w:t>conversion</w:t>
      </w:r>
      <w:r>
        <w:rPr>
          <w:spacing w:val="-3"/>
          <w:w w:val="105"/>
        </w:rPr>
        <w:t> </w:t>
      </w:r>
      <w:r>
        <w:rPr>
          <w:w w:val="105"/>
        </w:rPr>
        <w:t>rate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39.3%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40.2%</w:t>
      </w:r>
      <w:r>
        <w:rPr>
          <w:spacing w:val="-3"/>
          <w:w w:val="105"/>
        </w:rPr>
        <w:t> </w:t>
      </w:r>
      <w:r>
        <w:rPr>
          <w:w w:val="105"/>
        </w:rPr>
        <w:t>within</w:t>
      </w:r>
      <w:r>
        <w:rPr>
          <w:spacing w:val="-3"/>
          <w:w w:val="105"/>
        </w:rPr>
        <w:t> </w:t>
      </w:r>
      <w:r>
        <w:rPr>
          <w:w w:val="105"/>
        </w:rPr>
        <w:t>9</w:t>
      </w:r>
      <w:r>
        <w:rPr>
          <w:spacing w:val="-3"/>
          <w:w w:val="105"/>
        </w:rPr>
        <w:t> </w:t>
      </w:r>
      <w:r>
        <w:rPr>
          <w:w w:val="105"/>
        </w:rPr>
        <w:t>months</w:t>
      </w:r>
      <w:r>
        <w:rPr>
          <w:spacing w:val="-3"/>
          <w:w w:val="105"/>
        </w:rPr>
        <w:t> </w:t>
      </w:r>
      <w:r>
        <w:rPr>
          <w:w w:val="105"/>
        </w:rPr>
        <w:t>by redesigning lead-scoring rubrics and adding structured role-play sessions for 8 </w:t>
      </w:r>
      <w:r>
        <w:rPr>
          <w:spacing w:val="-4"/>
          <w:w w:val="105"/>
        </w:rPr>
        <w:t>SDRs.</w:t>
      </w:r>
    </w:p>
    <w:p>
      <w:pPr>
        <w:pStyle w:val="BodyText"/>
        <w:spacing w:line="273" w:lineRule="auto" w:before="91"/>
        <w:ind w:left="616" w:right="122"/>
      </w:pPr>
      <w:r>
        <w:rPr>
          <w:w w:val="105"/>
        </w:rPr>
        <w:t>Maintained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customer</w:t>
      </w:r>
      <w:r>
        <w:rPr>
          <w:spacing w:val="-1"/>
          <w:w w:val="105"/>
        </w:rPr>
        <w:t> </w:t>
      </w:r>
      <w:r>
        <w:rPr>
          <w:w w:val="105"/>
        </w:rPr>
        <w:t>retention</w:t>
      </w:r>
      <w:r>
        <w:rPr>
          <w:spacing w:val="-1"/>
          <w:w w:val="105"/>
        </w:rPr>
        <w:t> </w:t>
      </w:r>
      <w:r>
        <w:rPr>
          <w:w w:val="105"/>
        </w:rPr>
        <w:t>rate</w:t>
      </w:r>
      <w:r>
        <w:rPr>
          <w:spacing w:val="-1"/>
          <w:w w:val="105"/>
        </w:rPr>
        <w:t> </w:t>
      </w:r>
      <w:r>
        <w:rPr>
          <w:w w:val="105"/>
        </w:rPr>
        <w:t>of</w:t>
      </w:r>
      <w:r>
        <w:rPr>
          <w:spacing w:val="-1"/>
          <w:w w:val="105"/>
        </w:rPr>
        <w:t> </w:t>
      </w:r>
      <w:r>
        <w:rPr>
          <w:w w:val="105"/>
        </w:rPr>
        <w:t>92.3%</w:t>
      </w:r>
      <w:r>
        <w:rPr>
          <w:spacing w:val="-1"/>
          <w:w w:val="105"/>
        </w:rPr>
        <w:t> </w:t>
      </w:r>
      <w:r>
        <w:rPr>
          <w:w w:val="105"/>
        </w:rPr>
        <w:t>across</w:t>
      </w:r>
      <w:r>
        <w:rPr>
          <w:spacing w:val="-1"/>
          <w:w w:val="105"/>
        </w:rPr>
        <w:t> </w:t>
      </w:r>
      <w:r>
        <w:rPr>
          <w:w w:val="105"/>
        </w:rPr>
        <w:t>117</w:t>
      </w:r>
      <w:r>
        <w:rPr>
          <w:spacing w:val="-1"/>
          <w:w w:val="105"/>
        </w:rPr>
        <w:t> </w:t>
      </w:r>
      <w:r>
        <w:rPr>
          <w:w w:val="105"/>
        </w:rPr>
        <w:t>B2B</w:t>
      </w:r>
      <w:r>
        <w:rPr>
          <w:spacing w:val="-1"/>
          <w:w w:val="105"/>
        </w:rPr>
        <w:t> </w:t>
      </w:r>
      <w:r>
        <w:rPr>
          <w:w w:val="105"/>
        </w:rPr>
        <w:t>accounts</w:t>
      </w:r>
      <w:r>
        <w:rPr>
          <w:spacing w:val="-1"/>
          <w:w w:val="105"/>
        </w:rPr>
        <w:t> </w:t>
      </w:r>
      <w:r>
        <w:rPr>
          <w:w w:val="105"/>
        </w:rPr>
        <w:t>by monitoring purchasing preferences quarterly and adjusting renewal pricing </w:t>
      </w:r>
      <w:r>
        <w:rPr>
          <w:spacing w:val="-2"/>
          <w:w w:val="105"/>
        </w:rPr>
        <w:t>schedules.</w:t>
      </w:r>
    </w:p>
    <w:p>
      <w:pPr>
        <w:pStyle w:val="BodyText"/>
        <w:spacing w:line="273" w:lineRule="auto" w:before="106"/>
        <w:ind w:left="616" w:right="122"/>
      </w:pPr>
      <w:r>
        <w:rPr>
          <w:w w:val="105"/>
        </w:rPr>
        <w:t>Improved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win</w:t>
      </w:r>
      <w:r>
        <w:rPr>
          <w:spacing w:val="-1"/>
          <w:w w:val="105"/>
        </w:rPr>
        <w:t> </w:t>
      </w:r>
      <w:r>
        <w:rPr>
          <w:w w:val="105"/>
        </w:rPr>
        <w:t>rate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39.4%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40.3%</w:t>
      </w:r>
      <w:r>
        <w:rPr>
          <w:spacing w:val="-1"/>
          <w:w w:val="105"/>
        </w:rPr>
        <w:t> </w:t>
      </w:r>
      <w:r>
        <w:rPr>
          <w:w w:val="105"/>
        </w:rPr>
        <w:t>over</w:t>
      </w:r>
      <w:r>
        <w:rPr>
          <w:spacing w:val="-1"/>
          <w:w w:val="105"/>
        </w:rPr>
        <w:t> </w:t>
      </w:r>
      <w:r>
        <w:rPr>
          <w:w w:val="105"/>
        </w:rPr>
        <w:t>4</w:t>
      </w:r>
      <w:r>
        <w:rPr>
          <w:spacing w:val="-1"/>
          <w:w w:val="105"/>
        </w:rPr>
        <w:t> </w:t>
      </w:r>
      <w:r>
        <w:rPr>
          <w:w w:val="105"/>
        </w:rPr>
        <w:t>quarters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instituting</w:t>
      </w:r>
      <w:r>
        <w:rPr>
          <w:spacing w:val="-1"/>
          <w:w w:val="105"/>
        </w:rPr>
        <w:t> </w:t>
      </w:r>
      <w:r>
        <w:rPr>
          <w:w w:val="105"/>
        </w:rPr>
        <w:t>deal-review checkpoints at the discovery and proposal stages.</w:t>
      </w:r>
    </w:p>
    <w:p>
      <w:pPr>
        <w:pStyle w:val="BodyText"/>
        <w:spacing w:line="273" w:lineRule="auto" w:before="91"/>
        <w:ind w:left="616" w:right="122"/>
      </w:pPr>
      <w:r>
        <w:rPr>
          <w:w w:val="105"/>
        </w:rPr>
        <w:t>Determined seasonal discount rate structures for 3 product tiers, protecting gross margin within $1.25M of annual contract value.</w:t>
      </w:r>
    </w:p>
    <w:p>
      <w:pPr>
        <w:pStyle w:val="BodyText"/>
        <w:spacing w:before="67"/>
      </w:pPr>
    </w:p>
    <w:p>
      <w:pPr>
        <w:spacing w:line="278" w:lineRule="auto" w:before="0"/>
        <w:ind w:left="77" w:right="0" w:firstLine="0"/>
        <w:jc w:val="left"/>
        <w:rPr>
          <w:sz w:val="18"/>
        </w:rPr>
      </w:pPr>
      <w:r>
        <w:rPr>
          <w:w w:val="105"/>
          <w:sz w:val="18"/>
        </w:rPr>
        <w:t>Director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Sales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Housatonic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Valley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Commerce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Partners,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Milford,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CT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– </w:t>
      </w:r>
      <w:r>
        <w:rPr>
          <w:spacing w:val="-4"/>
          <w:w w:val="105"/>
          <w:sz w:val="18"/>
        </w:rPr>
        <w:t>2023</w:t>
      </w:r>
    </w:p>
    <w:p>
      <w:pPr>
        <w:pStyle w:val="BodyText"/>
        <w:spacing w:before="52"/>
        <w:rPr>
          <w:sz w:val="18"/>
        </w:rPr>
      </w:pPr>
    </w:p>
    <w:p>
      <w:pPr>
        <w:pStyle w:val="BodyText"/>
        <w:spacing w:line="273" w:lineRule="auto"/>
        <w:ind w:left="616" w:right="122"/>
      </w:pPr>
      <w:r>
        <w:rPr>
          <w:w w:val="105"/>
        </w:rPr>
        <w:t>Grew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SDR-to-AE</w:t>
      </w:r>
      <w:r>
        <w:rPr>
          <w:spacing w:val="-4"/>
          <w:w w:val="105"/>
        </w:rPr>
        <w:t> </w:t>
      </w:r>
      <w:r>
        <w:rPr>
          <w:w w:val="105"/>
        </w:rPr>
        <w:t>conversion</w:t>
      </w:r>
      <w:r>
        <w:rPr>
          <w:spacing w:val="-4"/>
          <w:w w:val="105"/>
        </w:rPr>
        <w:t> </w:t>
      </w:r>
      <w:r>
        <w:rPr>
          <w:w w:val="105"/>
        </w:rPr>
        <w:t>rate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39.2%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39.7%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4"/>
          <w:w w:val="105"/>
        </w:rPr>
        <w:t> </w:t>
      </w:r>
      <w:r>
        <w:rPr>
          <w:w w:val="105"/>
        </w:rPr>
        <w:t>6</w:t>
      </w:r>
      <w:r>
        <w:rPr>
          <w:spacing w:val="-4"/>
          <w:w w:val="105"/>
        </w:rPr>
        <w:t> </w:t>
      </w:r>
      <w:r>
        <w:rPr>
          <w:w w:val="105"/>
        </w:rPr>
        <w:t>months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building</w:t>
      </w:r>
      <w:r>
        <w:rPr>
          <w:spacing w:val="-4"/>
          <w:w w:val="105"/>
        </w:rPr>
        <w:t> </w:t>
      </w:r>
      <w:r>
        <w:rPr>
          <w:w w:val="105"/>
        </w:rPr>
        <w:t>a 4-week onboarding playbook and pairing new SDRs with top-performing AEs.</w:t>
      </w:r>
    </w:p>
    <w:p>
      <w:pPr>
        <w:pStyle w:val="BodyText"/>
        <w:spacing w:line="273" w:lineRule="auto" w:before="90"/>
        <w:ind w:left="616" w:right="122"/>
      </w:pPr>
      <w:r>
        <w:rPr>
          <w:w w:val="105"/>
        </w:rPr>
        <w:t>Retained 88.8% of the existing customer base year over year by tracking account health scores in Salesforce and ﬂagging at-risk renewals 60 days before expiration.</w:t>
      </w:r>
    </w:p>
    <w:p>
      <w:pPr>
        <w:pStyle w:val="BodyText"/>
        <w:spacing w:line="273" w:lineRule="auto" w:before="91"/>
        <w:ind w:left="616" w:right="122"/>
      </w:pPr>
      <w:r>
        <w:rPr>
          <w:w w:val="105"/>
        </w:rPr>
        <w:t>Advised 12 channel distributors on updated pricing policies and operating procedures, reducing order-processing errors by 37 per quarter.</w:t>
      </w:r>
    </w:p>
    <w:p>
      <w:pPr>
        <w:pStyle w:val="BodyText"/>
        <w:spacing w:line="273" w:lineRule="auto" w:before="90"/>
        <w:ind w:left="616" w:right="150"/>
      </w:pPr>
      <w:r>
        <w:rPr>
          <w:w w:val="105"/>
        </w:rPr>
        <w:t>Led weekly pipeline reviews for a 14-person sales organization, keeping average win rate at 39.9% against a target of 39.8%.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566"/>
          <w:cols w:num="2" w:equalWidth="0">
            <w:col w:w="3212" w:space="713"/>
            <w:col w:w="7004"/>
          </w:cols>
        </w:sectPr>
      </w:pPr>
    </w:p>
    <w:p>
      <w:pPr>
        <w:pStyle w:val="BodyText"/>
        <w:spacing w:before="6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1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20225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420225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49554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428999"/>
                            <a:ext cx="47625" cy="456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62475">
                                <a:moveTo>
                                  <a:pt x="47625" y="4535322"/>
                                </a:moveTo>
                                <a:lnTo>
                                  <a:pt x="27165" y="4514850"/>
                                </a:lnTo>
                                <a:lnTo>
                                  <a:pt x="20472" y="4514850"/>
                                </a:lnTo>
                                <a:lnTo>
                                  <a:pt x="0" y="4535322"/>
                                </a:lnTo>
                                <a:lnTo>
                                  <a:pt x="0" y="4538891"/>
                                </a:lnTo>
                                <a:lnTo>
                                  <a:pt x="0" y="4542015"/>
                                </a:lnTo>
                                <a:lnTo>
                                  <a:pt x="20472" y="4562475"/>
                                </a:lnTo>
                                <a:lnTo>
                                  <a:pt x="27165" y="4562475"/>
                                </a:lnTo>
                                <a:lnTo>
                                  <a:pt x="47625" y="4542015"/>
                                </a:lnTo>
                                <a:lnTo>
                                  <a:pt x="47625" y="4535322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4211472"/>
                                </a:moveTo>
                                <a:lnTo>
                                  <a:pt x="27165" y="4191000"/>
                                </a:lnTo>
                                <a:lnTo>
                                  <a:pt x="20472" y="4191000"/>
                                </a:lnTo>
                                <a:lnTo>
                                  <a:pt x="0" y="4211472"/>
                                </a:lnTo>
                                <a:lnTo>
                                  <a:pt x="0" y="4215041"/>
                                </a:lnTo>
                                <a:lnTo>
                                  <a:pt x="0" y="4218165"/>
                                </a:lnTo>
                                <a:lnTo>
                                  <a:pt x="20472" y="4238625"/>
                                </a:lnTo>
                                <a:lnTo>
                                  <a:pt x="27165" y="4238625"/>
                                </a:lnTo>
                                <a:lnTo>
                                  <a:pt x="47625" y="4218165"/>
                                </a:lnTo>
                                <a:lnTo>
                                  <a:pt x="47625" y="4211472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3878097"/>
                                </a:moveTo>
                                <a:lnTo>
                                  <a:pt x="27165" y="3857625"/>
                                </a:lnTo>
                                <a:lnTo>
                                  <a:pt x="20472" y="3857625"/>
                                </a:lnTo>
                                <a:lnTo>
                                  <a:pt x="0" y="3878097"/>
                                </a:lnTo>
                                <a:lnTo>
                                  <a:pt x="0" y="3881666"/>
                                </a:lnTo>
                                <a:lnTo>
                                  <a:pt x="0" y="3884790"/>
                                </a:lnTo>
                                <a:lnTo>
                                  <a:pt x="20472" y="3905250"/>
                                </a:lnTo>
                                <a:lnTo>
                                  <a:pt x="27165" y="3905250"/>
                                </a:lnTo>
                                <a:lnTo>
                                  <a:pt x="47625" y="3884790"/>
                                </a:lnTo>
                                <a:lnTo>
                                  <a:pt x="47625" y="3878097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3135147"/>
                                </a:moveTo>
                                <a:lnTo>
                                  <a:pt x="27165" y="3114675"/>
                                </a:lnTo>
                                <a:lnTo>
                                  <a:pt x="20472" y="3114675"/>
                                </a:lnTo>
                                <a:lnTo>
                                  <a:pt x="0" y="3135147"/>
                                </a:lnTo>
                                <a:lnTo>
                                  <a:pt x="0" y="3138716"/>
                                </a:lnTo>
                                <a:lnTo>
                                  <a:pt x="0" y="3141840"/>
                                </a:lnTo>
                                <a:lnTo>
                                  <a:pt x="20472" y="3162300"/>
                                </a:lnTo>
                                <a:lnTo>
                                  <a:pt x="27165" y="3162300"/>
                                </a:lnTo>
                                <a:lnTo>
                                  <a:pt x="47625" y="3141840"/>
                                </a:lnTo>
                                <a:lnTo>
                                  <a:pt x="47625" y="3135147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2811297"/>
                                </a:moveTo>
                                <a:lnTo>
                                  <a:pt x="27165" y="2790825"/>
                                </a:lnTo>
                                <a:lnTo>
                                  <a:pt x="20472" y="2790825"/>
                                </a:lnTo>
                                <a:lnTo>
                                  <a:pt x="0" y="2811297"/>
                                </a:lnTo>
                                <a:lnTo>
                                  <a:pt x="0" y="2814866"/>
                                </a:lnTo>
                                <a:lnTo>
                                  <a:pt x="0" y="2817990"/>
                                </a:lnTo>
                                <a:lnTo>
                                  <a:pt x="20472" y="2838450"/>
                                </a:lnTo>
                                <a:lnTo>
                                  <a:pt x="27165" y="2838450"/>
                                </a:lnTo>
                                <a:lnTo>
                                  <a:pt x="47625" y="2817990"/>
                                </a:lnTo>
                                <a:lnTo>
                                  <a:pt x="47625" y="2811297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2487447"/>
                                </a:moveTo>
                                <a:lnTo>
                                  <a:pt x="27165" y="2466975"/>
                                </a:lnTo>
                                <a:lnTo>
                                  <a:pt x="20472" y="2466975"/>
                                </a:lnTo>
                                <a:lnTo>
                                  <a:pt x="0" y="2487447"/>
                                </a:lnTo>
                                <a:lnTo>
                                  <a:pt x="0" y="2491016"/>
                                </a:lnTo>
                                <a:lnTo>
                                  <a:pt x="0" y="2494140"/>
                                </a:lnTo>
                                <a:lnTo>
                                  <a:pt x="20472" y="2514600"/>
                                </a:lnTo>
                                <a:lnTo>
                                  <a:pt x="27165" y="2514600"/>
                                </a:lnTo>
                                <a:lnTo>
                                  <a:pt x="47625" y="2494140"/>
                                </a:lnTo>
                                <a:lnTo>
                                  <a:pt x="47625" y="2487447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2163597"/>
                                </a:moveTo>
                                <a:lnTo>
                                  <a:pt x="27165" y="2143125"/>
                                </a:lnTo>
                                <a:lnTo>
                                  <a:pt x="20472" y="2143125"/>
                                </a:lnTo>
                                <a:lnTo>
                                  <a:pt x="0" y="2163597"/>
                                </a:lnTo>
                                <a:lnTo>
                                  <a:pt x="0" y="2167166"/>
                                </a:lnTo>
                                <a:lnTo>
                                  <a:pt x="0" y="2170290"/>
                                </a:lnTo>
                                <a:lnTo>
                                  <a:pt x="20472" y="2190750"/>
                                </a:lnTo>
                                <a:lnTo>
                                  <a:pt x="27165" y="2190750"/>
                                </a:lnTo>
                                <a:lnTo>
                                  <a:pt x="47625" y="2170290"/>
                                </a:lnTo>
                                <a:lnTo>
                                  <a:pt x="47625" y="2163597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5624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4720" id="docshapegroup1" coordorigin="0,0" coordsize="11415,16860">
                <v:shape style="position:absolute;left:0;top:0;width:4095;height:16860" id="docshape2" coordorigin="0,0" coordsize="4095,16860" path="m4095,0l0,0,0,14835,0,16860,4095,16860,4095,14835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930;width:7320;height:45" id="docshape8" filled="true" fillcolor="#664ea6" stroked="false">
                  <v:fill type="solid"/>
                </v:rect>
                <v:shape style="position:absolute;left:4664;top:5400;width:75;height:7185" id="docshape9" coordorigin="4665,5400" coordsize="75,7185" path="m4740,12542l4739,12537,4735,12528,4733,12524,4726,12517,4722,12515,4713,12511,4708,12510,4697,12510,4692,12511,4683,12515,4679,12517,4672,12524,4670,12528,4666,12537,4665,12542,4665,12548,4665,12553,4666,12558,4670,12567,4672,12571,4679,12578,4683,12580,4692,12584,4697,12585,4708,12585,4713,12584,4722,12580,4726,12578,4733,12571,4735,12567,4739,12558,4740,12553,4740,12542xm4740,12032l4739,12027,4735,12018,4733,12014,4726,12007,4722,12005,4713,12001,4708,12000,4697,12000,4692,12001,4683,12005,4679,12007,4672,12014,4670,12018,4666,12027,4665,12032,4665,12038,4665,12043,4666,12048,4670,12057,4672,12061,4679,12068,4683,12070,4692,12074,4697,12075,4708,12075,4713,12074,4722,12070,4726,12068,4733,12061,4735,12057,4739,12048,4740,12043,4740,12032xm4740,11507l4739,11502,4735,11493,4733,11489,4726,11482,4722,11480,4713,11476,4708,11475,4697,11475,4692,11476,4683,11480,4679,11482,4672,11489,4670,11493,4666,11502,4665,11507,4665,11513,4665,11518,4666,11523,4670,11532,4672,11536,4679,11543,4683,11545,4692,11549,4697,11550,4708,11550,4713,11549,4722,11545,4726,11543,4733,11536,4735,11532,4739,11523,4740,11518,4740,11507xm4740,10337l4739,10332,4735,10323,4733,10319,4726,10312,4722,10310,4713,10306,4708,10305,4697,10305,4692,10306,4683,10310,4679,10312,4672,10319,4670,10323,4666,10332,4665,10337,4665,10343,4665,10348,4666,10353,4670,10362,4672,10366,4679,10373,4683,10375,4692,10379,4697,10380,4708,10380,4713,10379,4722,10375,4726,10373,4733,10366,4735,10362,4739,10353,4740,10348,4740,10337xm4740,9827l4739,9822,4735,9813,4733,9809,4726,9802,4722,9800,4713,9796,4708,9795,4697,9795,4692,9796,4683,9800,4679,9802,4672,9809,4670,9813,4666,9822,4665,9827,4665,9833,4665,9838,4666,9843,4670,9852,4672,9856,4679,9863,4683,9865,4692,9869,4697,9870,4708,9870,4713,9869,4722,9865,4726,9863,4733,9856,4735,9852,4739,9843,4740,9838,4740,9827xm4740,9317l4739,9312,4735,9303,4733,9299,4726,9292,4722,9290,4713,9286,4708,9285,4697,9285,4692,9286,4683,9290,4679,9292,4672,9299,4670,9303,4666,9312,4665,9317,4665,9323,4665,9328,4666,9333,4670,9342,4672,9346,4679,9353,4683,9355,4692,9359,4697,9360,4708,9360,4713,9359,4722,9355,4726,9353,4733,9346,4735,9342,4739,9333,4740,9328,4740,9317xm4740,8807l4739,8802,4735,8793,4733,8789,4726,8782,4722,8780,4713,8776,4708,8775,4697,8775,4692,8776,4683,8780,4679,8782,4672,8789,4670,8793,4666,8802,4665,8807,4665,8813,4665,8818,4666,8823,4670,8832,4672,8836,4679,8843,4683,8845,4692,8849,4697,8850,4708,8850,4713,8849,4722,8845,4726,8843,4733,8836,4735,8832,4739,8823,4740,8818,4740,8807xm4740,7397l4739,7392,4735,7383,4733,7379,4726,7372,4722,7370,4713,7366,4708,7365,4697,7365,4692,7366,4683,7370,4679,7372,4672,7379,4670,7383,4666,7392,4665,7397,4665,7403,4665,7408,4666,7413,4670,7422,4672,7426,4679,7433,4683,7435,4692,7439,4697,7440,4708,7440,4713,7439,4722,7435,4726,7433,4733,7426,4735,7422,4739,7413,4740,7408,4740,7397xm4740,6887l4739,6882,4735,6873,4733,6869,4726,6862,4722,6860,4713,6856,4708,6855,4697,6855,4692,6856,4683,6860,4679,6862,4672,6869,4670,6873,4666,6882,4665,6887,4665,6893,4665,6898,4666,6903,4670,6912,4672,6916,4679,6923,4683,6925,4692,6929,4697,6930,4708,6930,4713,6929,4722,6925,4726,6923,4733,6916,4735,6912,4739,6903,4740,6898,4740,6887xm4740,6152l4739,6147,4735,6138,4733,6134,4726,6127,4722,6125,4713,6121,4708,6120,4697,6120,4692,6121,4683,6125,4679,6127,4672,6134,4670,6138,4666,6147,4665,6152,4665,6158,4665,6163,4666,6168,4670,6177,4672,6181,4679,6188,4683,6190,4692,6194,4697,6195,4708,6195,4713,6194,4722,6190,4726,6188,4733,6181,4735,6177,4739,6168,4740,6163,4740,6152xm4740,5432l4739,5427,4735,5418,4733,5414,4726,5407,4722,5405,4713,5401,4708,5400,4697,5400,4692,5401,4683,5405,4679,5407,4672,5414,4670,5418,4666,5427,4665,5432,4665,5438,4665,5443,4666,5448,4670,5457,4672,5461,4679,5468,4683,5470,4692,5474,4697,5475,4708,5475,4713,5474,4722,5470,4726,5468,4733,5461,4735,5457,4739,5448,4740,5443,4740,54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Sales</w:t>
      </w:r>
      <w:r>
        <w:rPr>
          <w:spacing w:val="7"/>
          <w:sz w:val="18"/>
        </w:rPr>
        <w:t> </w:t>
      </w:r>
      <w:r>
        <w:rPr>
          <w:sz w:val="18"/>
        </w:rPr>
        <w:t>Manager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Farmington</w:t>
      </w:r>
      <w:r>
        <w:rPr>
          <w:spacing w:val="8"/>
          <w:sz w:val="18"/>
        </w:rPr>
        <w:t> </w:t>
      </w:r>
      <w:r>
        <w:rPr>
          <w:sz w:val="18"/>
        </w:rPr>
        <w:t>Creek</w:t>
      </w:r>
      <w:r>
        <w:rPr>
          <w:spacing w:val="7"/>
          <w:sz w:val="18"/>
        </w:rPr>
        <w:t> </w:t>
      </w:r>
      <w:r>
        <w:rPr>
          <w:sz w:val="18"/>
        </w:rPr>
        <w:t>Industrial</w:t>
      </w:r>
      <w:r>
        <w:rPr>
          <w:spacing w:val="8"/>
          <w:sz w:val="18"/>
        </w:rPr>
        <w:t> </w:t>
      </w:r>
      <w:r>
        <w:rPr>
          <w:sz w:val="18"/>
        </w:rPr>
        <w:t>LLC,</w:t>
      </w:r>
      <w:r>
        <w:rPr>
          <w:spacing w:val="8"/>
          <w:sz w:val="18"/>
        </w:rPr>
        <w:t> </w:t>
      </w:r>
      <w:r>
        <w:rPr>
          <w:sz w:val="18"/>
        </w:rPr>
        <w:t>Bristol,</w:t>
      </w:r>
      <w:r>
        <w:rPr>
          <w:spacing w:val="8"/>
          <w:sz w:val="18"/>
        </w:rPr>
        <w:t> </w:t>
      </w:r>
      <w:r>
        <w:rPr>
          <w:sz w:val="18"/>
        </w:rPr>
        <w:t>CT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7"/>
          <w:sz w:val="18"/>
        </w:rPr>
        <w:t> </w:t>
      </w:r>
      <w:r>
        <w:rPr>
          <w:sz w:val="18"/>
        </w:rPr>
        <w:t>2019</w:t>
      </w:r>
      <w:r>
        <w:rPr>
          <w:spacing w:val="8"/>
          <w:sz w:val="18"/>
        </w:rPr>
        <w:t> </w:t>
      </w:r>
      <w:r>
        <w:rPr>
          <w:sz w:val="18"/>
        </w:rPr>
        <w:t>–</w:t>
      </w:r>
      <w:r>
        <w:rPr>
          <w:spacing w:val="8"/>
          <w:sz w:val="18"/>
        </w:rPr>
        <w:t> </w:t>
      </w:r>
      <w:r>
        <w:rPr>
          <w:spacing w:val="-4"/>
          <w:sz w:val="18"/>
        </w:rPr>
        <w:t>2021</w:t>
      </w:r>
    </w:p>
    <w:p>
      <w:pPr>
        <w:pStyle w:val="BodyText"/>
        <w:spacing w:before="93"/>
      </w:pPr>
    </w:p>
    <w:p>
      <w:pPr>
        <w:pStyle w:val="BodyText"/>
        <w:spacing w:line="273" w:lineRule="auto"/>
        <w:ind w:left="4540" w:right="170"/>
      </w:pPr>
      <w:r>
        <w:rPr>
          <w:w w:val="105"/>
        </w:rPr>
        <w:t>Monitored customer purchase trends across 87 accounts to reallocate territory focus, lifting win rate from 39.6% to 40.1% in 10 months.</w:t>
      </w:r>
    </w:p>
    <w:p>
      <w:pPr>
        <w:pStyle w:val="BodyText"/>
        <w:spacing w:line="273" w:lineRule="auto" w:before="106"/>
        <w:ind w:left="4540"/>
      </w:pPr>
      <w:r>
        <w:rPr>
          <w:w w:val="105"/>
        </w:rPr>
        <w:t>Achieved a customer retention rate of 86.7% during the ﬁrst full ﬁscal year by scheduling quarterly business reviews with the top 30 accounts.</w:t>
      </w:r>
    </w:p>
    <w:p>
      <w:pPr>
        <w:pStyle w:val="BodyText"/>
        <w:spacing w:line="273" w:lineRule="auto" w:before="90"/>
        <w:ind w:left="4540" w:right="170"/>
      </w:pPr>
      <w:r>
        <w:rPr>
          <w:w w:val="105"/>
        </w:rPr>
        <w:t>Coordinated discount approvals on deals above $7,150, ensuring pricing compliance across 4 product categories.</w:t>
      </w:r>
    </w:p>
    <w:p>
      <w:pPr>
        <w:pStyle w:val="Heading1"/>
        <w:spacing w:before="252"/>
        <w:ind w:left="0" w:right="1393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109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BS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(Bachelor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Science)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Marketing</w:t>
      </w:r>
    </w:p>
    <w:p>
      <w:pPr>
        <w:pStyle w:val="BodyText"/>
        <w:spacing w:before="22"/>
        <w:ind w:left="4001"/>
      </w:pPr>
      <w:r>
        <w:rPr>
          <w:w w:val="105"/>
        </w:rPr>
        <w:t>University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Connecticut,</w:t>
      </w:r>
      <w:r>
        <w:rPr>
          <w:spacing w:val="-9"/>
          <w:w w:val="105"/>
        </w:rPr>
        <w:t> </w:t>
      </w:r>
      <w:r>
        <w:rPr>
          <w:w w:val="105"/>
        </w:rPr>
        <w:t>Storrs,</w:t>
      </w:r>
      <w:r>
        <w:rPr>
          <w:spacing w:val="-10"/>
          <w:w w:val="105"/>
        </w:rPr>
        <w:t> </w:t>
      </w:r>
      <w:r>
        <w:rPr>
          <w:w w:val="105"/>
        </w:rPr>
        <w:t>CT</w:t>
      </w:r>
      <w:r>
        <w:rPr>
          <w:spacing w:val="-9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2015</w:t>
      </w:r>
      <w:r>
        <w:rPr>
          <w:spacing w:val="-9"/>
          <w:w w:val="105"/>
        </w:rPr>
        <w:t> </w:t>
      </w:r>
      <w:r>
        <w:rPr>
          <w:w w:val="105"/>
        </w:rPr>
        <w:t>–</w:t>
      </w:r>
      <w:r>
        <w:rPr>
          <w:spacing w:val="-10"/>
          <w:w w:val="105"/>
        </w:rPr>
        <w:t> </w:t>
      </w:r>
      <w:r>
        <w:rPr>
          <w:spacing w:val="-4"/>
          <w:w w:val="105"/>
        </w:rPr>
        <w:t>2019</w:t>
      </w:r>
    </w:p>
    <w:sectPr>
      <w:type w:val="continuous"/>
      <w:pgSz w:w="11920" w:h="16860"/>
      <w:pgMar w:top="86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7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colin.boateng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2026-10-08T13:35:02Z</dcterms:created>
  <dcterms:modified xsi:type="dcterms:W3CDTF">2026-10-08T13:35:02Z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